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2395" w:rsidRPr="00187EA0" w:rsidRDefault="00652395" w:rsidP="00F01DFE">
      <w:pPr>
        <w:pBdr>
          <w:top w:val="single" w:sz="24" w:space="1" w:color="2F5496" w:themeColor="accent1" w:themeShade="BF"/>
          <w:left w:val="single" w:sz="24" w:space="4" w:color="2F5496" w:themeColor="accent1" w:themeShade="BF"/>
          <w:bottom w:val="single" w:sz="24" w:space="1" w:color="2F5496" w:themeColor="accent1" w:themeShade="BF"/>
          <w:right w:val="single" w:sz="24" w:space="4" w:color="2F5496" w:themeColor="accent1" w:themeShade="BF"/>
        </w:pBdr>
        <w:shd w:val="clear" w:color="auto" w:fill="BDD6EE" w:themeFill="accent5" w:themeFillTint="66"/>
        <w:spacing w:after="120"/>
        <w:jc w:val="center"/>
        <w:rPr>
          <w:rFonts w:asciiTheme="majorHAnsi" w:hAnsiTheme="majorHAnsi" w:cstheme="majorHAnsi"/>
          <w:b/>
          <w:sz w:val="64"/>
          <w:szCs w:val="64"/>
        </w:rPr>
      </w:pPr>
      <w:r w:rsidRPr="00187EA0">
        <w:rPr>
          <w:rFonts w:asciiTheme="majorHAnsi" w:hAnsiTheme="majorHAnsi" w:cstheme="majorHAnsi"/>
          <w:b/>
          <w:sz w:val="64"/>
          <w:szCs w:val="64"/>
        </w:rPr>
        <w:t>POLITIQUE D'ARCHIVAGE DES DONN</w:t>
      </w:r>
      <w:r w:rsidR="00D02D49" w:rsidRPr="00187EA0">
        <w:rPr>
          <w:rFonts w:asciiTheme="majorHAnsi" w:hAnsiTheme="majorHAnsi" w:cstheme="majorHAnsi"/>
          <w:b/>
          <w:sz w:val="64"/>
          <w:szCs w:val="64"/>
        </w:rPr>
        <w:t>É</w:t>
      </w:r>
      <w:r w:rsidRPr="00187EA0">
        <w:rPr>
          <w:rFonts w:asciiTheme="majorHAnsi" w:hAnsiTheme="majorHAnsi" w:cstheme="majorHAnsi"/>
          <w:b/>
          <w:sz w:val="64"/>
          <w:szCs w:val="64"/>
        </w:rPr>
        <w:t xml:space="preserve">ES EN </w:t>
      </w:r>
      <w:proofErr w:type="spellStart"/>
      <w:r w:rsidRPr="00187EA0">
        <w:rPr>
          <w:rFonts w:asciiTheme="majorHAnsi" w:hAnsiTheme="majorHAnsi" w:cstheme="majorHAnsi"/>
          <w:b/>
          <w:sz w:val="64"/>
          <w:szCs w:val="64"/>
        </w:rPr>
        <w:t>ESSMS</w:t>
      </w:r>
      <w:proofErr w:type="spellEnd"/>
    </w:p>
    <w:p w:rsidR="00652395" w:rsidRPr="00187EA0" w:rsidRDefault="00652395" w:rsidP="00D02D49">
      <w:pPr>
        <w:spacing w:after="120"/>
        <w:jc w:val="both"/>
        <w:rPr>
          <w:rFonts w:asciiTheme="majorHAnsi" w:hAnsiTheme="majorHAnsi" w:cstheme="majorHAnsi"/>
        </w:rPr>
      </w:pPr>
    </w:p>
    <w:p w:rsidR="00187EA0" w:rsidRPr="00187EA0" w:rsidRDefault="00187EA0" w:rsidP="00D02D49">
      <w:pPr>
        <w:spacing w:after="120"/>
        <w:jc w:val="both"/>
        <w:rPr>
          <w:rFonts w:asciiTheme="majorHAnsi" w:hAnsiTheme="majorHAnsi" w:cstheme="majorHAnsi"/>
          <w:b/>
          <w:sz w:val="28"/>
          <w:szCs w:val="28"/>
        </w:rPr>
      </w:pPr>
      <w:r w:rsidRPr="00187EA0">
        <w:rPr>
          <w:rFonts w:asciiTheme="majorHAnsi" w:hAnsiTheme="majorHAnsi" w:cstheme="majorHAnsi"/>
          <w:b/>
          <w:sz w:val="28"/>
          <w:szCs w:val="28"/>
        </w:rPr>
        <w:t>AUCUNE RÉPONSE TOUTE FAITE</w:t>
      </w:r>
    </w:p>
    <w:p w:rsidR="00187EA0" w:rsidRPr="00187EA0" w:rsidRDefault="00187EA0" w:rsidP="00D02D49">
      <w:pPr>
        <w:spacing w:after="120"/>
        <w:jc w:val="both"/>
        <w:rPr>
          <w:rFonts w:asciiTheme="majorHAnsi" w:hAnsiTheme="majorHAnsi" w:cstheme="majorHAnsi"/>
          <w:b/>
          <w:sz w:val="28"/>
          <w:szCs w:val="28"/>
        </w:rPr>
      </w:pPr>
      <w:r w:rsidRPr="00187EA0">
        <w:rPr>
          <w:rFonts w:asciiTheme="majorHAnsi" w:hAnsiTheme="majorHAnsi" w:cstheme="majorHAnsi"/>
          <w:b/>
          <w:sz w:val="28"/>
          <w:szCs w:val="28"/>
        </w:rPr>
        <w:t>ECLAIRAGE SUR UNE METHODE DE PRISE DE DECISION</w:t>
      </w:r>
    </w:p>
    <w:p w:rsidR="00652395" w:rsidRPr="00187EA0" w:rsidRDefault="00652395" w:rsidP="00D02D49">
      <w:pPr>
        <w:spacing w:after="120"/>
        <w:jc w:val="both"/>
        <w:rPr>
          <w:rFonts w:asciiTheme="majorHAnsi" w:hAnsiTheme="majorHAnsi" w:cstheme="majorHAnsi"/>
        </w:rPr>
      </w:pPr>
    </w:p>
    <w:p w:rsidR="00652395" w:rsidRPr="00187EA0" w:rsidRDefault="00652395" w:rsidP="00D02D49">
      <w:pPr>
        <w:spacing w:before="240" w:after="240"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 xml:space="preserve">Dans leur pratique quotidienne, les acteurs du secteur social et médico-social (départements, </w:t>
      </w:r>
      <w:proofErr w:type="spellStart"/>
      <w:r w:rsidRPr="00187EA0">
        <w:rPr>
          <w:rFonts w:asciiTheme="majorHAnsi" w:eastAsia="Times New Roman" w:hAnsiTheme="majorHAnsi" w:cstheme="majorHAnsi"/>
          <w:sz w:val="24"/>
          <w:szCs w:val="24"/>
          <w:lang w:eastAsia="fr-FR"/>
        </w:rPr>
        <w:t>ESSMS</w:t>
      </w:r>
      <w:proofErr w:type="spellEnd"/>
      <w:r w:rsidRPr="00187EA0">
        <w:rPr>
          <w:rFonts w:asciiTheme="majorHAnsi" w:eastAsia="Times New Roman" w:hAnsiTheme="majorHAnsi" w:cstheme="majorHAnsi"/>
          <w:sz w:val="24"/>
          <w:szCs w:val="24"/>
          <w:lang w:eastAsia="fr-FR"/>
        </w:rPr>
        <w:t>, CAF…) sont amenés à collecter et à traiter de nombreuses informations concernant les personnes accompagnées ou bénéficiaires de prestations sociales. </w:t>
      </w:r>
    </w:p>
    <w:p w:rsidR="00652395" w:rsidRPr="00187EA0" w:rsidRDefault="00652395" w:rsidP="00D02D49">
      <w:pPr>
        <w:pStyle w:val="NormalWeb"/>
        <w:shd w:val="clear" w:color="auto" w:fill="FFFFFF"/>
        <w:spacing w:before="211" w:beforeAutospacing="0" w:after="211" w:afterAutospacing="0"/>
        <w:jc w:val="both"/>
        <w:rPr>
          <w:rFonts w:asciiTheme="majorHAnsi" w:hAnsiTheme="majorHAnsi" w:cstheme="majorHAnsi"/>
        </w:rPr>
      </w:pPr>
      <w:r w:rsidRPr="00187EA0">
        <w:rPr>
          <w:rFonts w:asciiTheme="majorHAnsi" w:hAnsiTheme="majorHAnsi" w:cstheme="majorHAnsi"/>
        </w:rPr>
        <w:t xml:space="preserve">Ces données personnelles, parfois sensibles, ne peuvent être conservées que pour une durée limitée, variant notamment selon leur nature : </w:t>
      </w:r>
      <w:r w:rsidRPr="00187EA0">
        <w:rPr>
          <w:rStyle w:val="lev"/>
          <w:rFonts w:asciiTheme="majorHAnsi" w:hAnsiTheme="majorHAnsi" w:cstheme="majorHAnsi"/>
        </w:rPr>
        <w:t xml:space="preserve">Le </w:t>
      </w:r>
      <w:proofErr w:type="spellStart"/>
      <w:r w:rsidRPr="00187EA0">
        <w:rPr>
          <w:rStyle w:val="lev"/>
          <w:rFonts w:asciiTheme="majorHAnsi" w:hAnsiTheme="majorHAnsi" w:cstheme="majorHAnsi"/>
        </w:rPr>
        <w:t>RGPD</w:t>
      </w:r>
      <w:proofErr w:type="spellEnd"/>
      <w:r w:rsidRPr="00187EA0">
        <w:rPr>
          <w:rStyle w:val="lev"/>
          <w:rFonts w:asciiTheme="majorHAnsi" w:hAnsiTheme="majorHAnsi" w:cstheme="majorHAnsi"/>
        </w:rPr>
        <w:t xml:space="preserve"> prévoit un principe de </w:t>
      </w:r>
      <w:hyperlink r:id="rId5" w:tgtFrame="_blank" w:tooltip="Les durées de conservation des données - Nouvelle fenêtre" w:history="1">
        <w:r w:rsidRPr="00187EA0">
          <w:rPr>
            <w:rStyle w:val="Lienhypertexte"/>
            <w:rFonts w:asciiTheme="majorHAnsi" w:hAnsiTheme="majorHAnsi" w:cstheme="majorHAnsi"/>
            <w:color w:val="auto"/>
          </w:rPr>
          <w:t>limitation de la conservation des données personnelles</w:t>
        </w:r>
      </w:hyperlink>
      <w:r w:rsidRPr="00187EA0">
        <w:rPr>
          <w:rStyle w:val="lev"/>
          <w:rFonts w:asciiTheme="majorHAnsi" w:hAnsiTheme="majorHAnsi" w:cstheme="majorHAnsi"/>
        </w:rPr>
        <w:t> à une durée nécessaire par rapport à l’objectif poursuivi</w:t>
      </w:r>
      <w:r w:rsidRPr="00187EA0">
        <w:rPr>
          <w:rFonts w:asciiTheme="majorHAnsi" w:hAnsiTheme="majorHAnsi" w:cstheme="majorHAnsi"/>
        </w:rPr>
        <w:t>, quel que soit le support utilisé (papier ou numérique) : les organismes ne peuvent les conserver sans définir en amont une durée précise de conservation ou les critères permettant de déterminer celle-ci.</w:t>
      </w:r>
    </w:p>
    <w:p w:rsidR="00652395" w:rsidRPr="00187EA0" w:rsidRDefault="00652395" w:rsidP="00187EA0">
      <w:pPr>
        <w:pStyle w:val="NormalWeb"/>
        <w:shd w:val="clear" w:color="auto" w:fill="FFFFFF"/>
        <w:spacing w:before="211" w:beforeAutospacing="0" w:after="211" w:afterAutospacing="0"/>
        <w:jc w:val="both"/>
        <w:rPr>
          <w:rFonts w:asciiTheme="majorHAnsi" w:hAnsiTheme="majorHAnsi" w:cstheme="majorHAnsi"/>
        </w:rPr>
      </w:pPr>
      <w:r w:rsidRPr="00187EA0">
        <w:rPr>
          <w:rFonts w:asciiTheme="majorHAnsi" w:hAnsiTheme="majorHAnsi" w:cstheme="majorHAnsi"/>
        </w:rPr>
        <w:t>Toute structure, peu importe sa taille, doit anticiper et appliquer cette règle dans ses procédures internes.</w:t>
      </w:r>
      <w:r w:rsidR="00187EA0" w:rsidRPr="00187EA0">
        <w:rPr>
          <w:rFonts w:asciiTheme="majorHAnsi" w:hAnsiTheme="majorHAnsi" w:cstheme="majorHAnsi"/>
        </w:rPr>
        <w:t xml:space="preserve"> </w:t>
      </w:r>
      <w:r w:rsidRPr="00187EA0">
        <w:rPr>
          <w:rFonts w:asciiTheme="majorHAnsi" w:hAnsiTheme="majorHAnsi" w:cstheme="majorHAnsi"/>
        </w:rPr>
        <w:t>Afin de guider les professionnels dans la détermination de cette durée, la Commission nationale de l'informatique et des libertés (Cnil) a élaboré deux outils</w:t>
      </w:r>
      <w:r w:rsidR="004A0D58" w:rsidRPr="00187EA0">
        <w:rPr>
          <w:rFonts w:asciiTheme="majorHAnsi" w:hAnsiTheme="majorHAnsi" w:cstheme="majorHAnsi"/>
        </w:rPr>
        <w:t> :</w:t>
      </w:r>
    </w:p>
    <w:p w:rsidR="004A0D58" w:rsidRPr="00187EA0" w:rsidRDefault="004A0D58" w:rsidP="00D02D49">
      <w:pPr>
        <w:pStyle w:val="Paragraphedeliste"/>
        <w:numPr>
          <w:ilvl w:val="0"/>
          <w:numId w:val="25"/>
        </w:numPr>
        <w:spacing w:after="240"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Une fiche pratique</w:t>
      </w:r>
    </w:p>
    <w:p w:rsidR="004A0D58" w:rsidRPr="00187EA0" w:rsidRDefault="004A0D58" w:rsidP="00D02D49">
      <w:pPr>
        <w:pStyle w:val="Paragraphedeliste"/>
        <w:numPr>
          <w:ilvl w:val="0"/>
          <w:numId w:val="25"/>
        </w:numPr>
        <w:spacing w:after="240"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Des référentiels</w:t>
      </w:r>
    </w:p>
    <w:p w:rsidR="00652395" w:rsidRPr="00187EA0" w:rsidRDefault="00652395" w:rsidP="00F01DFE">
      <w:pPr>
        <w:rPr>
          <w:lang w:eastAsia="fr-FR"/>
        </w:rPr>
      </w:pPr>
    </w:p>
    <w:p w:rsidR="00652395" w:rsidRPr="00187EA0" w:rsidRDefault="00652395" w:rsidP="00D02D49">
      <w:pPr>
        <w:pStyle w:val="Paragraphedeliste"/>
        <w:numPr>
          <w:ilvl w:val="0"/>
          <w:numId w:val="2"/>
        </w:numPr>
        <w:spacing w:before="100" w:beforeAutospacing="1" w:after="100" w:afterAutospacing="1" w:line="240" w:lineRule="auto"/>
        <w:jc w:val="both"/>
        <w:outlineLvl w:val="1"/>
        <w:rPr>
          <w:rFonts w:asciiTheme="majorHAnsi" w:eastAsia="Times New Roman" w:hAnsiTheme="majorHAnsi" w:cstheme="majorHAnsi"/>
          <w:b/>
          <w:sz w:val="44"/>
          <w:szCs w:val="44"/>
          <w:u w:val="single"/>
          <w:lang w:eastAsia="fr-FR"/>
        </w:rPr>
      </w:pPr>
      <w:r w:rsidRPr="00187EA0">
        <w:rPr>
          <w:rFonts w:asciiTheme="majorHAnsi" w:eastAsia="Times New Roman" w:hAnsiTheme="majorHAnsi" w:cstheme="majorHAnsi"/>
          <w:b/>
          <w:sz w:val="44"/>
          <w:szCs w:val="44"/>
          <w:u w:val="single"/>
          <w:lang w:eastAsia="fr-FR"/>
        </w:rPr>
        <w:t>Fiche pratique</w:t>
      </w:r>
    </w:p>
    <w:p w:rsidR="00652395" w:rsidRPr="00187EA0" w:rsidRDefault="004A0D58" w:rsidP="00D02D49">
      <w:pPr>
        <w:spacing w:before="240" w:after="240"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L</w:t>
      </w:r>
      <w:r w:rsidR="00652395" w:rsidRPr="00187EA0">
        <w:rPr>
          <w:rFonts w:asciiTheme="majorHAnsi" w:eastAsia="Times New Roman" w:hAnsiTheme="majorHAnsi" w:cstheme="majorHAnsi"/>
          <w:sz w:val="24"/>
          <w:szCs w:val="24"/>
          <w:lang w:eastAsia="fr-FR"/>
        </w:rPr>
        <w:t>a Cnil propose aux établissements et services sociaux et médico-sociaux (</w:t>
      </w:r>
      <w:proofErr w:type="spellStart"/>
      <w:r w:rsidR="00652395" w:rsidRPr="00187EA0">
        <w:rPr>
          <w:rFonts w:asciiTheme="majorHAnsi" w:eastAsia="Times New Roman" w:hAnsiTheme="majorHAnsi" w:cstheme="majorHAnsi"/>
          <w:sz w:val="24"/>
          <w:szCs w:val="24"/>
          <w:lang w:eastAsia="fr-FR"/>
        </w:rPr>
        <w:t>ESSMS</w:t>
      </w:r>
      <w:proofErr w:type="spellEnd"/>
      <w:r w:rsidR="00652395" w:rsidRPr="00187EA0">
        <w:rPr>
          <w:rFonts w:asciiTheme="majorHAnsi" w:eastAsia="Times New Roman" w:hAnsiTheme="majorHAnsi" w:cstheme="majorHAnsi"/>
          <w:sz w:val="24"/>
          <w:szCs w:val="24"/>
          <w:lang w:eastAsia="fr-FR"/>
        </w:rPr>
        <w:t>) une fiche pratique pour les aider à élaborer un </w:t>
      </w:r>
      <w:r w:rsidR="00652395" w:rsidRPr="00187EA0">
        <w:rPr>
          <w:rFonts w:asciiTheme="majorHAnsi" w:eastAsia="Times New Roman" w:hAnsiTheme="majorHAnsi" w:cstheme="majorHAnsi"/>
          <w:i/>
          <w:iCs/>
          <w:sz w:val="24"/>
          <w:szCs w:val="24"/>
          <w:lang w:eastAsia="fr-FR"/>
        </w:rPr>
        <w:t>« plan d'action »</w:t>
      </w:r>
      <w:r w:rsidR="00652395" w:rsidRPr="00187EA0">
        <w:rPr>
          <w:rFonts w:asciiTheme="majorHAnsi" w:eastAsia="Times New Roman" w:hAnsiTheme="majorHAnsi" w:cstheme="majorHAnsi"/>
          <w:sz w:val="24"/>
          <w:szCs w:val="24"/>
          <w:lang w:eastAsia="fr-FR"/>
        </w:rPr>
        <w:t> sur la gestion des durées de conservation des données.</w:t>
      </w: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b/>
          <w:bCs/>
          <w:sz w:val="24"/>
          <w:szCs w:val="24"/>
          <w:lang w:eastAsia="fr-FR"/>
        </w:rPr>
        <w:t>Cette fiche vise à guider tous les acteurs (salariés, bénévoles, etc.) du secteur social et médico-social dans la gestion des durées de conservation des données qu’ils traitent</w:t>
      </w:r>
      <w:r w:rsidRPr="00187EA0">
        <w:rPr>
          <w:rFonts w:asciiTheme="majorHAnsi" w:eastAsia="Times New Roman" w:hAnsiTheme="majorHAnsi" w:cstheme="majorHAnsi"/>
          <w:sz w:val="24"/>
          <w:szCs w:val="24"/>
          <w:lang w:eastAsia="fr-FR"/>
        </w:rPr>
        <w:t>, tant dans l’exercice de leurs missions propres que dans celles qui leur sont confiées par une tutelle ou un donneur d’ordre.</w:t>
      </w: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Cette fiche et le référentiel « durées de conservation » s’adressent à tous les établissements et services mentionnés à </w:t>
      </w:r>
      <w:hyperlink r:id="rId6" w:tgtFrame="_blank" w:tooltip="Article L312-1 du code de l'action sociale et des familles - Légifrance - Nouvelle fenêtre" w:history="1">
        <w:r w:rsidRPr="00187EA0">
          <w:rPr>
            <w:rFonts w:asciiTheme="majorHAnsi" w:eastAsia="Times New Roman" w:hAnsiTheme="majorHAnsi" w:cstheme="majorHAnsi"/>
            <w:sz w:val="24"/>
            <w:szCs w:val="24"/>
            <w:u w:val="single"/>
            <w:lang w:eastAsia="fr-FR"/>
          </w:rPr>
          <w:t>l’article L. 312-1 du code de l’action sociale et des familles</w:t>
        </w:r>
      </w:hyperlink>
      <w:r w:rsidRPr="00187EA0">
        <w:rPr>
          <w:rFonts w:asciiTheme="majorHAnsi" w:eastAsia="Times New Roman" w:hAnsiTheme="majorHAnsi" w:cstheme="majorHAnsi"/>
          <w:sz w:val="24"/>
          <w:szCs w:val="24"/>
          <w:lang w:eastAsia="fr-FR"/>
        </w:rPr>
        <w:t>.</w:t>
      </w: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Par exemple :</w:t>
      </w:r>
    </w:p>
    <w:p w:rsidR="00652395" w:rsidRPr="00187EA0" w:rsidRDefault="00652395" w:rsidP="00D02D49">
      <w:pPr>
        <w:numPr>
          <w:ilvl w:val="0"/>
          <w:numId w:val="3"/>
        </w:numPr>
        <w:shd w:val="clear" w:color="auto" w:fill="FFFFFF"/>
        <w:spacing w:after="0" w:line="240" w:lineRule="auto"/>
        <w:ind w:left="0"/>
        <w:jc w:val="both"/>
        <w:rPr>
          <w:rFonts w:asciiTheme="majorHAnsi" w:eastAsia="Times New Roman" w:hAnsiTheme="majorHAnsi" w:cstheme="majorHAnsi"/>
          <w:sz w:val="24"/>
          <w:szCs w:val="24"/>
          <w:lang w:eastAsia="fr-FR"/>
        </w:rPr>
      </w:pPr>
      <w:proofErr w:type="gramStart"/>
      <w:r w:rsidRPr="00187EA0">
        <w:rPr>
          <w:rFonts w:asciiTheme="majorHAnsi" w:eastAsia="Times New Roman" w:hAnsiTheme="majorHAnsi" w:cstheme="majorHAnsi"/>
          <w:sz w:val="24"/>
          <w:szCs w:val="24"/>
          <w:lang w:eastAsia="fr-FR"/>
        </w:rPr>
        <w:lastRenderedPageBreak/>
        <w:t>les</w:t>
      </w:r>
      <w:proofErr w:type="gramEnd"/>
      <w:r w:rsidRPr="00187EA0">
        <w:rPr>
          <w:rFonts w:asciiTheme="majorHAnsi" w:eastAsia="Times New Roman" w:hAnsiTheme="majorHAnsi" w:cstheme="majorHAnsi"/>
          <w:sz w:val="24"/>
          <w:szCs w:val="24"/>
          <w:lang w:eastAsia="fr-FR"/>
        </w:rPr>
        <w:t xml:space="preserve"> services mandataires et judiciaires à la protection des majeurs (</w:t>
      </w:r>
      <w:proofErr w:type="spellStart"/>
      <w:r w:rsidRPr="00187EA0">
        <w:rPr>
          <w:rFonts w:asciiTheme="majorHAnsi" w:eastAsia="Times New Roman" w:hAnsiTheme="majorHAnsi" w:cstheme="majorHAnsi"/>
          <w:sz w:val="24"/>
          <w:szCs w:val="24"/>
          <w:lang w:eastAsia="fr-FR"/>
        </w:rPr>
        <w:t>SMJPM</w:t>
      </w:r>
      <w:proofErr w:type="spellEnd"/>
      <w:r w:rsidRPr="00187EA0">
        <w:rPr>
          <w:rFonts w:asciiTheme="majorHAnsi" w:eastAsia="Times New Roman" w:hAnsiTheme="majorHAnsi" w:cstheme="majorHAnsi"/>
          <w:sz w:val="24"/>
          <w:szCs w:val="24"/>
          <w:lang w:eastAsia="fr-FR"/>
        </w:rPr>
        <w:t>) ;</w:t>
      </w:r>
    </w:p>
    <w:p w:rsidR="00652395" w:rsidRPr="00187EA0" w:rsidRDefault="00652395" w:rsidP="00D02D49">
      <w:pPr>
        <w:numPr>
          <w:ilvl w:val="0"/>
          <w:numId w:val="3"/>
        </w:numPr>
        <w:shd w:val="clear" w:color="auto" w:fill="FFFFFF"/>
        <w:spacing w:after="0" w:line="240" w:lineRule="auto"/>
        <w:ind w:left="0"/>
        <w:jc w:val="both"/>
        <w:rPr>
          <w:rFonts w:asciiTheme="majorHAnsi" w:eastAsia="Times New Roman" w:hAnsiTheme="majorHAnsi" w:cstheme="majorHAnsi"/>
          <w:sz w:val="24"/>
          <w:szCs w:val="24"/>
          <w:lang w:eastAsia="fr-FR"/>
        </w:rPr>
      </w:pPr>
      <w:proofErr w:type="gramStart"/>
      <w:r w:rsidRPr="00187EA0">
        <w:rPr>
          <w:rFonts w:asciiTheme="majorHAnsi" w:eastAsia="Times New Roman" w:hAnsiTheme="majorHAnsi" w:cstheme="majorHAnsi"/>
          <w:sz w:val="24"/>
          <w:szCs w:val="24"/>
          <w:lang w:eastAsia="fr-FR"/>
        </w:rPr>
        <w:t>les</w:t>
      </w:r>
      <w:proofErr w:type="gramEnd"/>
      <w:r w:rsidRPr="00187EA0">
        <w:rPr>
          <w:rFonts w:asciiTheme="majorHAnsi" w:eastAsia="Times New Roman" w:hAnsiTheme="majorHAnsi" w:cstheme="majorHAnsi"/>
          <w:sz w:val="24"/>
          <w:szCs w:val="24"/>
          <w:lang w:eastAsia="fr-FR"/>
        </w:rPr>
        <w:t xml:space="preserve"> services d’accompagnement à la vie sociale (</w:t>
      </w:r>
      <w:proofErr w:type="spellStart"/>
      <w:r w:rsidRPr="00187EA0">
        <w:rPr>
          <w:rFonts w:asciiTheme="majorHAnsi" w:eastAsia="Times New Roman" w:hAnsiTheme="majorHAnsi" w:cstheme="majorHAnsi"/>
          <w:sz w:val="24"/>
          <w:szCs w:val="24"/>
          <w:lang w:eastAsia="fr-FR"/>
        </w:rPr>
        <w:t>SAVS</w:t>
      </w:r>
      <w:proofErr w:type="spellEnd"/>
      <w:r w:rsidRPr="00187EA0">
        <w:rPr>
          <w:rFonts w:asciiTheme="majorHAnsi" w:eastAsia="Times New Roman" w:hAnsiTheme="majorHAnsi" w:cstheme="majorHAnsi"/>
          <w:sz w:val="24"/>
          <w:szCs w:val="24"/>
          <w:lang w:eastAsia="fr-FR"/>
        </w:rPr>
        <w:t>) ;</w:t>
      </w:r>
    </w:p>
    <w:p w:rsidR="00652395" w:rsidRPr="00187EA0" w:rsidRDefault="00652395" w:rsidP="00D02D49">
      <w:pPr>
        <w:numPr>
          <w:ilvl w:val="0"/>
          <w:numId w:val="3"/>
        </w:numPr>
        <w:shd w:val="clear" w:color="auto" w:fill="FFFFFF"/>
        <w:spacing w:after="0" w:line="240" w:lineRule="auto"/>
        <w:ind w:left="0"/>
        <w:jc w:val="both"/>
        <w:rPr>
          <w:rFonts w:asciiTheme="majorHAnsi" w:eastAsia="Times New Roman" w:hAnsiTheme="majorHAnsi" w:cstheme="majorHAnsi"/>
          <w:sz w:val="24"/>
          <w:szCs w:val="24"/>
          <w:lang w:eastAsia="fr-FR"/>
        </w:rPr>
      </w:pPr>
      <w:proofErr w:type="gramStart"/>
      <w:r w:rsidRPr="00187EA0">
        <w:rPr>
          <w:rFonts w:asciiTheme="majorHAnsi" w:eastAsia="Times New Roman" w:hAnsiTheme="majorHAnsi" w:cstheme="majorHAnsi"/>
          <w:sz w:val="24"/>
          <w:szCs w:val="24"/>
          <w:lang w:eastAsia="fr-FR"/>
        </w:rPr>
        <w:t>les</w:t>
      </w:r>
      <w:proofErr w:type="gramEnd"/>
      <w:r w:rsidRPr="00187EA0">
        <w:rPr>
          <w:rFonts w:asciiTheme="majorHAnsi" w:eastAsia="Times New Roman" w:hAnsiTheme="majorHAnsi" w:cstheme="majorHAnsi"/>
          <w:sz w:val="24"/>
          <w:szCs w:val="24"/>
          <w:lang w:eastAsia="fr-FR"/>
        </w:rPr>
        <w:t xml:space="preserve"> services d’accompagnement médico-social pour adultes handicapés (</w:t>
      </w:r>
      <w:proofErr w:type="spellStart"/>
      <w:r w:rsidRPr="00187EA0">
        <w:rPr>
          <w:rFonts w:asciiTheme="majorHAnsi" w:eastAsia="Times New Roman" w:hAnsiTheme="majorHAnsi" w:cstheme="majorHAnsi"/>
          <w:sz w:val="24"/>
          <w:szCs w:val="24"/>
          <w:lang w:eastAsia="fr-FR"/>
        </w:rPr>
        <w:t>SAMSAH</w:t>
      </w:r>
      <w:proofErr w:type="spellEnd"/>
      <w:r w:rsidRPr="00187EA0">
        <w:rPr>
          <w:rFonts w:asciiTheme="majorHAnsi" w:eastAsia="Times New Roman" w:hAnsiTheme="majorHAnsi" w:cstheme="majorHAnsi"/>
          <w:sz w:val="24"/>
          <w:szCs w:val="24"/>
          <w:lang w:eastAsia="fr-FR"/>
        </w:rPr>
        <w:t>) ;</w:t>
      </w:r>
    </w:p>
    <w:p w:rsidR="00652395" w:rsidRPr="00187EA0" w:rsidRDefault="00652395" w:rsidP="00D02D49">
      <w:pPr>
        <w:numPr>
          <w:ilvl w:val="0"/>
          <w:numId w:val="3"/>
        </w:numPr>
        <w:shd w:val="clear" w:color="auto" w:fill="FFFFFF"/>
        <w:spacing w:after="0" w:line="240" w:lineRule="auto"/>
        <w:ind w:left="0"/>
        <w:jc w:val="both"/>
        <w:rPr>
          <w:rFonts w:asciiTheme="majorHAnsi" w:eastAsia="Times New Roman" w:hAnsiTheme="majorHAnsi" w:cstheme="majorHAnsi"/>
          <w:sz w:val="24"/>
          <w:szCs w:val="24"/>
          <w:lang w:eastAsia="fr-FR"/>
        </w:rPr>
      </w:pPr>
      <w:proofErr w:type="gramStart"/>
      <w:r w:rsidRPr="00187EA0">
        <w:rPr>
          <w:rFonts w:asciiTheme="majorHAnsi" w:eastAsia="Times New Roman" w:hAnsiTheme="majorHAnsi" w:cstheme="majorHAnsi"/>
          <w:sz w:val="24"/>
          <w:szCs w:val="24"/>
          <w:lang w:eastAsia="fr-FR"/>
        </w:rPr>
        <w:t>les</w:t>
      </w:r>
      <w:proofErr w:type="gramEnd"/>
      <w:r w:rsidRPr="00187EA0">
        <w:rPr>
          <w:rFonts w:asciiTheme="majorHAnsi" w:eastAsia="Times New Roman" w:hAnsiTheme="majorHAnsi" w:cstheme="majorHAnsi"/>
          <w:sz w:val="24"/>
          <w:szCs w:val="24"/>
          <w:lang w:eastAsia="fr-FR"/>
        </w:rPr>
        <w:t xml:space="preserve"> établissements et services d’aide par le travail (ESAT) ;</w:t>
      </w:r>
    </w:p>
    <w:p w:rsidR="00652395" w:rsidRPr="00187EA0" w:rsidRDefault="00652395" w:rsidP="00D02D49">
      <w:pPr>
        <w:numPr>
          <w:ilvl w:val="0"/>
          <w:numId w:val="3"/>
        </w:numPr>
        <w:shd w:val="clear" w:color="auto" w:fill="FFFFFF"/>
        <w:spacing w:after="0" w:line="240" w:lineRule="auto"/>
        <w:ind w:left="0"/>
        <w:jc w:val="both"/>
        <w:rPr>
          <w:rFonts w:asciiTheme="majorHAnsi" w:eastAsia="Times New Roman" w:hAnsiTheme="majorHAnsi" w:cstheme="majorHAnsi"/>
          <w:sz w:val="24"/>
          <w:szCs w:val="24"/>
          <w:lang w:eastAsia="fr-FR"/>
        </w:rPr>
      </w:pPr>
      <w:proofErr w:type="gramStart"/>
      <w:r w:rsidRPr="00187EA0">
        <w:rPr>
          <w:rFonts w:asciiTheme="majorHAnsi" w:eastAsia="Times New Roman" w:hAnsiTheme="majorHAnsi" w:cstheme="majorHAnsi"/>
          <w:sz w:val="24"/>
          <w:szCs w:val="24"/>
          <w:lang w:eastAsia="fr-FR"/>
        </w:rPr>
        <w:t>les</w:t>
      </w:r>
      <w:proofErr w:type="gramEnd"/>
      <w:r w:rsidRPr="00187EA0">
        <w:rPr>
          <w:rFonts w:asciiTheme="majorHAnsi" w:eastAsia="Times New Roman" w:hAnsiTheme="majorHAnsi" w:cstheme="majorHAnsi"/>
          <w:sz w:val="24"/>
          <w:szCs w:val="24"/>
          <w:lang w:eastAsia="fr-FR"/>
        </w:rPr>
        <w:t xml:space="preserve"> établissements d’hébergement pour personnes âgées dépendantes (EHPAD) ;</w:t>
      </w:r>
    </w:p>
    <w:p w:rsidR="00652395" w:rsidRPr="00187EA0" w:rsidRDefault="00652395" w:rsidP="00D02D49">
      <w:pPr>
        <w:numPr>
          <w:ilvl w:val="0"/>
          <w:numId w:val="3"/>
        </w:numPr>
        <w:shd w:val="clear" w:color="auto" w:fill="FFFFFF"/>
        <w:spacing w:after="0" w:line="240" w:lineRule="auto"/>
        <w:ind w:left="0"/>
        <w:jc w:val="both"/>
        <w:rPr>
          <w:rFonts w:asciiTheme="majorHAnsi" w:eastAsia="Times New Roman" w:hAnsiTheme="majorHAnsi" w:cstheme="majorHAnsi"/>
          <w:sz w:val="24"/>
          <w:szCs w:val="24"/>
          <w:lang w:eastAsia="fr-FR"/>
        </w:rPr>
      </w:pPr>
      <w:proofErr w:type="gramStart"/>
      <w:r w:rsidRPr="00187EA0">
        <w:rPr>
          <w:rFonts w:asciiTheme="majorHAnsi" w:eastAsia="Times New Roman" w:hAnsiTheme="majorHAnsi" w:cstheme="majorHAnsi"/>
          <w:sz w:val="24"/>
          <w:szCs w:val="24"/>
          <w:lang w:eastAsia="fr-FR"/>
        </w:rPr>
        <w:t>les</w:t>
      </w:r>
      <w:proofErr w:type="gramEnd"/>
      <w:r w:rsidRPr="00187EA0">
        <w:rPr>
          <w:rFonts w:asciiTheme="majorHAnsi" w:eastAsia="Times New Roman" w:hAnsiTheme="majorHAnsi" w:cstheme="majorHAnsi"/>
          <w:sz w:val="24"/>
          <w:szCs w:val="24"/>
          <w:lang w:eastAsia="fr-FR"/>
        </w:rPr>
        <w:t xml:space="preserve"> services d’aide et d’accompagnement à domicile (SAAD) ;</w:t>
      </w:r>
    </w:p>
    <w:p w:rsidR="00652395" w:rsidRPr="00187EA0" w:rsidRDefault="00652395" w:rsidP="00D02D49">
      <w:pPr>
        <w:numPr>
          <w:ilvl w:val="0"/>
          <w:numId w:val="3"/>
        </w:numPr>
        <w:shd w:val="clear" w:color="auto" w:fill="FFFFFF"/>
        <w:spacing w:after="0" w:line="240" w:lineRule="auto"/>
        <w:ind w:left="0"/>
        <w:jc w:val="both"/>
        <w:rPr>
          <w:rFonts w:asciiTheme="majorHAnsi" w:eastAsia="Times New Roman" w:hAnsiTheme="majorHAnsi" w:cstheme="majorHAnsi"/>
          <w:sz w:val="24"/>
          <w:szCs w:val="24"/>
          <w:lang w:eastAsia="fr-FR"/>
        </w:rPr>
      </w:pPr>
      <w:proofErr w:type="gramStart"/>
      <w:r w:rsidRPr="00187EA0">
        <w:rPr>
          <w:rFonts w:asciiTheme="majorHAnsi" w:eastAsia="Times New Roman" w:hAnsiTheme="majorHAnsi" w:cstheme="majorHAnsi"/>
          <w:sz w:val="24"/>
          <w:szCs w:val="24"/>
          <w:lang w:eastAsia="fr-FR"/>
        </w:rPr>
        <w:t>les</w:t>
      </w:r>
      <w:proofErr w:type="gramEnd"/>
      <w:r w:rsidRPr="00187EA0">
        <w:rPr>
          <w:rFonts w:asciiTheme="majorHAnsi" w:eastAsia="Times New Roman" w:hAnsiTheme="majorHAnsi" w:cstheme="majorHAnsi"/>
          <w:sz w:val="24"/>
          <w:szCs w:val="24"/>
          <w:lang w:eastAsia="fr-FR"/>
        </w:rPr>
        <w:t xml:space="preserve"> services d’appartements de coordination thérapeutique (</w:t>
      </w:r>
      <w:proofErr w:type="spellStart"/>
      <w:r w:rsidRPr="00187EA0">
        <w:rPr>
          <w:rFonts w:asciiTheme="majorHAnsi" w:eastAsia="Times New Roman" w:hAnsiTheme="majorHAnsi" w:cstheme="majorHAnsi"/>
          <w:sz w:val="24"/>
          <w:szCs w:val="24"/>
          <w:lang w:eastAsia="fr-FR"/>
        </w:rPr>
        <w:t>ACT</w:t>
      </w:r>
      <w:proofErr w:type="spellEnd"/>
      <w:r w:rsidRPr="00187EA0">
        <w:rPr>
          <w:rFonts w:asciiTheme="majorHAnsi" w:eastAsia="Times New Roman" w:hAnsiTheme="majorHAnsi" w:cstheme="majorHAnsi"/>
          <w:sz w:val="24"/>
          <w:szCs w:val="24"/>
          <w:lang w:eastAsia="fr-FR"/>
        </w:rPr>
        <w:t>) ;</w:t>
      </w:r>
    </w:p>
    <w:p w:rsidR="00652395" w:rsidRPr="00187EA0" w:rsidRDefault="00652395" w:rsidP="00D02D49">
      <w:pPr>
        <w:numPr>
          <w:ilvl w:val="0"/>
          <w:numId w:val="3"/>
        </w:numPr>
        <w:shd w:val="clear" w:color="auto" w:fill="FFFFFF"/>
        <w:spacing w:after="0" w:line="240" w:lineRule="auto"/>
        <w:ind w:left="0"/>
        <w:jc w:val="both"/>
        <w:rPr>
          <w:rFonts w:asciiTheme="majorHAnsi" w:eastAsia="Times New Roman" w:hAnsiTheme="majorHAnsi" w:cstheme="majorHAnsi"/>
          <w:sz w:val="24"/>
          <w:szCs w:val="24"/>
          <w:lang w:eastAsia="fr-FR"/>
        </w:rPr>
      </w:pPr>
      <w:proofErr w:type="gramStart"/>
      <w:r w:rsidRPr="00187EA0">
        <w:rPr>
          <w:rFonts w:asciiTheme="majorHAnsi" w:eastAsia="Times New Roman" w:hAnsiTheme="majorHAnsi" w:cstheme="majorHAnsi"/>
          <w:sz w:val="24"/>
          <w:szCs w:val="24"/>
          <w:lang w:eastAsia="fr-FR"/>
        </w:rPr>
        <w:t>les</w:t>
      </w:r>
      <w:proofErr w:type="gramEnd"/>
      <w:r w:rsidRPr="00187EA0">
        <w:rPr>
          <w:rFonts w:asciiTheme="majorHAnsi" w:eastAsia="Times New Roman" w:hAnsiTheme="majorHAnsi" w:cstheme="majorHAnsi"/>
          <w:sz w:val="24"/>
          <w:szCs w:val="24"/>
          <w:lang w:eastAsia="fr-FR"/>
        </w:rPr>
        <w:t xml:space="preserve"> services Lits halte soins santé (</w:t>
      </w:r>
      <w:proofErr w:type="spellStart"/>
      <w:r w:rsidRPr="00187EA0">
        <w:rPr>
          <w:rFonts w:asciiTheme="majorHAnsi" w:eastAsia="Times New Roman" w:hAnsiTheme="majorHAnsi" w:cstheme="majorHAnsi"/>
          <w:sz w:val="24"/>
          <w:szCs w:val="24"/>
          <w:lang w:eastAsia="fr-FR"/>
        </w:rPr>
        <w:t>LHSS</w:t>
      </w:r>
      <w:proofErr w:type="spellEnd"/>
      <w:r w:rsidRPr="00187EA0">
        <w:rPr>
          <w:rFonts w:asciiTheme="majorHAnsi" w:eastAsia="Times New Roman" w:hAnsiTheme="majorHAnsi" w:cstheme="majorHAnsi"/>
          <w:sz w:val="24"/>
          <w:szCs w:val="24"/>
          <w:lang w:eastAsia="fr-FR"/>
        </w:rPr>
        <w:t>) ;</w:t>
      </w:r>
    </w:p>
    <w:p w:rsidR="004A0D58" w:rsidRPr="00187EA0" w:rsidRDefault="00652395" w:rsidP="00D02D49">
      <w:pPr>
        <w:numPr>
          <w:ilvl w:val="0"/>
          <w:numId w:val="3"/>
        </w:numPr>
        <w:shd w:val="clear" w:color="auto" w:fill="FFFFFF"/>
        <w:spacing w:after="0" w:line="240" w:lineRule="auto"/>
        <w:ind w:left="0"/>
        <w:jc w:val="both"/>
        <w:rPr>
          <w:rFonts w:asciiTheme="majorHAnsi" w:eastAsia="Times New Roman" w:hAnsiTheme="majorHAnsi" w:cstheme="majorHAnsi"/>
          <w:sz w:val="24"/>
          <w:szCs w:val="24"/>
          <w:lang w:eastAsia="fr-FR"/>
        </w:rPr>
      </w:pPr>
      <w:proofErr w:type="gramStart"/>
      <w:r w:rsidRPr="00187EA0">
        <w:rPr>
          <w:rFonts w:asciiTheme="majorHAnsi" w:eastAsia="Times New Roman" w:hAnsiTheme="majorHAnsi" w:cstheme="majorHAnsi"/>
          <w:sz w:val="24"/>
          <w:szCs w:val="24"/>
          <w:lang w:eastAsia="fr-FR"/>
        </w:rPr>
        <w:t>les</w:t>
      </w:r>
      <w:proofErr w:type="gramEnd"/>
      <w:r w:rsidRPr="00187EA0">
        <w:rPr>
          <w:rFonts w:asciiTheme="majorHAnsi" w:eastAsia="Times New Roman" w:hAnsiTheme="majorHAnsi" w:cstheme="majorHAnsi"/>
          <w:sz w:val="24"/>
          <w:szCs w:val="24"/>
          <w:lang w:eastAsia="fr-FR"/>
        </w:rPr>
        <w:t xml:space="preserve"> centres d’hébergement et de réinsertion sociale (</w:t>
      </w:r>
      <w:proofErr w:type="spellStart"/>
      <w:r w:rsidRPr="00187EA0">
        <w:rPr>
          <w:rFonts w:asciiTheme="majorHAnsi" w:eastAsia="Times New Roman" w:hAnsiTheme="majorHAnsi" w:cstheme="majorHAnsi"/>
          <w:sz w:val="24"/>
          <w:szCs w:val="24"/>
          <w:lang w:eastAsia="fr-FR"/>
        </w:rPr>
        <w:t>CHRS</w:t>
      </w:r>
      <w:proofErr w:type="spellEnd"/>
      <w:r w:rsidRPr="00187EA0">
        <w:rPr>
          <w:rFonts w:asciiTheme="majorHAnsi" w:eastAsia="Times New Roman" w:hAnsiTheme="majorHAnsi" w:cstheme="majorHAnsi"/>
          <w:sz w:val="24"/>
          <w:szCs w:val="24"/>
          <w:lang w:eastAsia="fr-FR"/>
        </w:rPr>
        <w:t>).</w:t>
      </w:r>
    </w:p>
    <w:p w:rsidR="004A0D58" w:rsidRPr="00187EA0" w:rsidRDefault="004A0D58" w:rsidP="00D02D49">
      <w:pPr>
        <w:shd w:val="clear" w:color="auto" w:fill="FFFFFF"/>
        <w:spacing w:after="0" w:line="240" w:lineRule="auto"/>
        <w:jc w:val="both"/>
        <w:rPr>
          <w:rFonts w:asciiTheme="majorHAnsi" w:eastAsia="Times New Roman" w:hAnsiTheme="majorHAnsi" w:cstheme="majorHAnsi"/>
          <w:sz w:val="24"/>
          <w:szCs w:val="24"/>
          <w:lang w:eastAsia="fr-FR"/>
        </w:rPr>
      </w:pPr>
    </w:p>
    <w:p w:rsidR="004A0D58" w:rsidRPr="00187EA0" w:rsidRDefault="004A0D58" w:rsidP="00D02D49">
      <w:pPr>
        <w:shd w:val="clear" w:color="auto" w:fill="FFFFFF"/>
        <w:spacing w:after="0" w:line="240" w:lineRule="auto"/>
        <w:jc w:val="both"/>
        <w:rPr>
          <w:rFonts w:asciiTheme="majorHAnsi" w:eastAsia="Times New Roman" w:hAnsiTheme="majorHAnsi" w:cstheme="majorHAnsi"/>
          <w:sz w:val="24"/>
          <w:szCs w:val="24"/>
          <w:lang w:eastAsia="fr-FR"/>
        </w:rPr>
      </w:pPr>
    </w:p>
    <w:p w:rsidR="00652395" w:rsidRPr="00187EA0" w:rsidRDefault="00652395" w:rsidP="00D02D49">
      <w:pPr>
        <w:shd w:val="clear" w:color="auto" w:fill="FFFFFF"/>
        <w:spacing w:before="211" w:after="211" w:line="240" w:lineRule="auto"/>
        <w:jc w:val="both"/>
        <w:outlineLvl w:val="1"/>
        <w:rPr>
          <w:rFonts w:asciiTheme="majorHAnsi" w:eastAsia="Times New Roman" w:hAnsiTheme="majorHAnsi" w:cstheme="majorHAnsi"/>
          <w:b/>
          <w:bCs/>
          <w:sz w:val="36"/>
          <w:szCs w:val="36"/>
          <w:lang w:eastAsia="fr-FR"/>
        </w:rPr>
      </w:pPr>
      <w:r w:rsidRPr="00187EA0">
        <w:rPr>
          <w:rFonts w:asciiTheme="majorHAnsi" w:eastAsia="Times New Roman" w:hAnsiTheme="majorHAnsi" w:cstheme="majorHAnsi"/>
          <w:b/>
          <w:bCs/>
          <w:sz w:val="36"/>
          <w:szCs w:val="36"/>
          <w:lang w:eastAsia="fr-FR"/>
        </w:rPr>
        <w:t>Gérer les durées : votre plan d’action en cinq étapes</w:t>
      </w:r>
    </w:p>
    <w:p w:rsidR="004A0D58" w:rsidRPr="00187EA0" w:rsidRDefault="004A0D58" w:rsidP="00D02D49">
      <w:pPr>
        <w:spacing w:before="240" w:after="240" w:line="240" w:lineRule="auto"/>
        <w:jc w:val="both"/>
        <w:rPr>
          <w:rFonts w:asciiTheme="majorHAnsi" w:eastAsia="Times New Roman" w:hAnsiTheme="majorHAnsi" w:cstheme="majorHAnsi"/>
          <w:sz w:val="24"/>
          <w:szCs w:val="24"/>
          <w:lang w:eastAsia="fr-FR"/>
        </w:rPr>
      </w:pPr>
    </w:p>
    <w:p w:rsidR="004A0D58" w:rsidRPr="00187EA0" w:rsidRDefault="004A0D58" w:rsidP="00D02D49">
      <w:pPr>
        <w:spacing w:before="240" w:after="240"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Ce plan d'action comporte cinq étapes, allant de l'identification des interlocuteurs en interne (directeur, chef de service, délégué à la protection des données…) à la mise en œuvre des durées de conservation des informations décidées.</w:t>
      </w:r>
    </w:p>
    <w:p w:rsidR="004A0D58" w:rsidRPr="00187EA0" w:rsidRDefault="004A0D58" w:rsidP="00D02D49">
      <w:pPr>
        <w:spacing w:before="240" w:after="240"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Dernière précision de la Cnil : les structures sont encouragées à</w:t>
      </w:r>
      <w:r w:rsidRPr="00187EA0">
        <w:rPr>
          <w:rFonts w:asciiTheme="majorHAnsi" w:eastAsia="Times New Roman" w:hAnsiTheme="majorHAnsi" w:cstheme="majorHAnsi"/>
          <w:i/>
          <w:iCs/>
          <w:sz w:val="24"/>
          <w:szCs w:val="24"/>
          <w:lang w:eastAsia="fr-FR"/>
        </w:rPr>
        <w:t> « documenter »</w:t>
      </w:r>
      <w:r w:rsidRPr="00187EA0">
        <w:rPr>
          <w:rFonts w:asciiTheme="majorHAnsi" w:eastAsia="Times New Roman" w:hAnsiTheme="majorHAnsi" w:cstheme="majorHAnsi"/>
          <w:sz w:val="24"/>
          <w:szCs w:val="24"/>
          <w:lang w:eastAsia="fr-FR"/>
        </w:rPr>
        <w:t> leur choix, en particulier lorsqu'aucun texte ne fixe la durée de conservation. </w:t>
      </w:r>
      <w:r w:rsidRPr="00187EA0">
        <w:rPr>
          <w:rFonts w:asciiTheme="majorHAnsi" w:eastAsia="Times New Roman" w:hAnsiTheme="majorHAnsi" w:cstheme="majorHAnsi"/>
          <w:i/>
          <w:iCs/>
          <w:sz w:val="24"/>
          <w:szCs w:val="24"/>
          <w:lang w:eastAsia="fr-FR"/>
        </w:rPr>
        <w:t>« Il faut élaborer un document qui explique comment et pourquoi vous avez appliqué une durée plutôt qu’une autre »</w:t>
      </w:r>
      <w:r w:rsidRPr="00187EA0">
        <w:rPr>
          <w:rFonts w:asciiTheme="majorHAnsi" w:eastAsia="Times New Roman" w:hAnsiTheme="majorHAnsi" w:cstheme="majorHAnsi"/>
          <w:sz w:val="24"/>
          <w:szCs w:val="24"/>
          <w:lang w:eastAsia="fr-FR"/>
        </w:rPr>
        <w:t>.</w:t>
      </w:r>
    </w:p>
    <w:p w:rsidR="004A0D58" w:rsidRPr="00187EA0" w:rsidRDefault="004A0D58" w:rsidP="00F01DFE">
      <w:pPr>
        <w:rPr>
          <w:lang w:eastAsia="fr-FR"/>
        </w:rPr>
      </w:pPr>
    </w:p>
    <w:p w:rsidR="00652395" w:rsidRPr="00187EA0" w:rsidRDefault="00652395" w:rsidP="00D02D49">
      <w:pPr>
        <w:shd w:val="clear" w:color="auto" w:fill="FFFFFF"/>
        <w:spacing w:before="211" w:after="211" w:line="240" w:lineRule="auto"/>
        <w:jc w:val="both"/>
        <w:outlineLvl w:val="1"/>
        <w:rPr>
          <w:rFonts w:asciiTheme="majorHAnsi" w:eastAsia="Times New Roman" w:hAnsiTheme="majorHAnsi" w:cstheme="majorHAnsi"/>
          <w:b/>
          <w:bCs/>
          <w:sz w:val="36"/>
          <w:szCs w:val="36"/>
          <w:lang w:eastAsia="fr-FR"/>
        </w:rPr>
      </w:pPr>
      <w:r w:rsidRPr="00187EA0">
        <w:rPr>
          <w:rFonts w:asciiTheme="majorHAnsi" w:eastAsia="Times New Roman" w:hAnsiTheme="majorHAnsi" w:cstheme="majorHAnsi"/>
          <w:b/>
          <w:bCs/>
          <w:sz w:val="36"/>
          <w:szCs w:val="36"/>
          <w:lang w:eastAsia="fr-FR"/>
        </w:rPr>
        <w:t>Étape n° 1 : Identifier vos interlocuteurs en interne</w:t>
      </w:r>
    </w:p>
    <w:p w:rsidR="004A0D58" w:rsidRPr="00187EA0" w:rsidRDefault="004A0D58" w:rsidP="00F01DFE">
      <w:pPr>
        <w:rPr>
          <w:lang w:eastAsia="fr-FR"/>
        </w:rPr>
      </w:pP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Avant d’engager les travaux dans votre structure pour définir et appliquer les durées de conservation, il est nécessaire d’identifier les bons interlocuteurs en interne (qui est en mesure de définir la durée de conservation nécessaire ? qui la met concrètement en œuvre ?).</w:t>
      </w: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Il pourra s’agir :</w:t>
      </w:r>
    </w:p>
    <w:p w:rsidR="00652395" w:rsidRPr="00187EA0" w:rsidRDefault="00652395" w:rsidP="00D02D49">
      <w:pPr>
        <w:numPr>
          <w:ilvl w:val="0"/>
          <w:numId w:val="4"/>
        </w:numPr>
        <w:shd w:val="clear" w:color="auto" w:fill="FFFFFF"/>
        <w:spacing w:after="0" w:line="240" w:lineRule="auto"/>
        <w:ind w:left="0"/>
        <w:jc w:val="both"/>
        <w:rPr>
          <w:rFonts w:asciiTheme="majorHAnsi" w:eastAsia="Times New Roman" w:hAnsiTheme="majorHAnsi" w:cstheme="majorHAnsi"/>
          <w:sz w:val="24"/>
          <w:szCs w:val="24"/>
          <w:lang w:eastAsia="fr-FR"/>
        </w:rPr>
      </w:pPr>
      <w:proofErr w:type="gramStart"/>
      <w:r w:rsidRPr="00187EA0">
        <w:rPr>
          <w:rFonts w:asciiTheme="majorHAnsi" w:eastAsia="Times New Roman" w:hAnsiTheme="majorHAnsi" w:cstheme="majorHAnsi"/>
          <w:b/>
          <w:bCs/>
          <w:sz w:val="24"/>
          <w:szCs w:val="24"/>
          <w:lang w:eastAsia="fr-FR"/>
        </w:rPr>
        <w:t>des</w:t>
      </w:r>
      <w:proofErr w:type="gramEnd"/>
      <w:r w:rsidRPr="00187EA0">
        <w:rPr>
          <w:rFonts w:asciiTheme="majorHAnsi" w:eastAsia="Times New Roman" w:hAnsiTheme="majorHAnsi" w:cstheme="majorHAnsi"/>
          <w:b/>
          <w:bCs/>
          <w:sz w:val="24"/>
          <w:szCs w:val="24"/>
          <w:lang w:eastAsia="fr-FR"/>
        </w:rPr>
        <w:t xml:space="preserve"> directeurs, chefs de service, bénévoles responsables, opérationnels, etc.</w:t>
      </w:r>
      <w:r w:rsidRPr="00187EA0">
        <w:rPr>
          <w:rFonts w:asciiTheme="majorHAnsi" w:eastAsia="Times New Roman" w:hAnsiTheme="majorHAnsi" w:cstheme="majorHAnsi"/>
          <w:sz w:val="24"/>
          <w:szCs w:val="24"/>
          <w:lang w:eastAsia="fr-FR"/>
        </w:rPr>
        <w:t> : la bonne connaissance de l’organisation et du parcours des personnes accompagnées est essentielle pour comprendre le cycle de vie des données et mettre en place les procédures de conservation. En lien avec les autres intervenants (service informatique, travailleurs sociaux, bénévoles, etc.), ils sont à même de définir la durée de conservation pertinente lorsqu’aucun texte juridique ne la définit ;</w:t>
      </w:r>
    </w:p>
    <w:p w:rsidR="00652395" w:rsidRPr="00187EA0" w:rsidRDefault="00187EA0" w:rsidP="00D02D49">
      <w:pPr>
        <w:numPr>
          <w:ilvl w:val="0"/>
          <w:numId w:val="4"/>
        </w:numPr>
        <w:shd w:val="clear" w:color="auto" w:fill="FFFFFF"/>
        <w:spacing w:after="0" w:line="240" w:lineRule="auto"/>
        <w:ind w:left="0"/>
        <w:jc w:val="both"/>
        <w:rPr>
          <w:rFonts w:asciiTheme="majorHAnsi" w:eastAsia="Times New Roman" w:hAnsiTheme="majorHAnsi" w:cstheme="majorHAnsi"/>
          <w:sz w:val="24"/>
          <w:szCs w:val="24"/>
          <w:lang w:eastAsia="fr-FR"/>
        </w:rPr>
      </w:pPr>
      <w:hyperlink r:id="rId7" w:tgtFrame="_blank" w:tooltip="Le délégué à la protection des données (DPO/DPD) - Nouvelle fenêtre" w:history="1">
        <w:proofErr w:type="gramStart"/>
        <w:r w:rsidR="00652395" w:rsidRPr="00187EA0">
          <w:rPr>
            <w:rFonts w:asciiTheme="majorHAnsi" w:eastAsia="Times New Roman" w:hAnsiTheme="majorHAnsi" w:cstheme="majorHAnsi"/>
            <w:sz w:val="24"/>
            <w:szCs w:val="24"/>
            <w:u w:val="single"/>
            <w:lang w:eastAsia="fr-FR"/>
          </w:rPr>
          <w:t>du</w:t>
        </w:r>
        <w:proofErr w:type="gramEnd"/>
        <w:r w:rsidR="00652395" w:rsidRPr="00187EA0">
          <w:rPr>
            <w:rFonts w:asciiTheme="majorHAnsi" w:eastAsia="Times New Roman" w:hAnsiTheme="majorHAnsi" w:cstheme="majorHAnsi"/>
            <w:sz w:val="24"/>
            <w:szCs w:val="24"/>
            <w:u w:val="single"/>
            <w:lang w:eastAsia="fr-FR"/>
          </w:rPr>
          <w:t xml:space="preserve"> délégué à la protection des données (</w:t>
        </w:r>
        <w:proofErr w:type="spellStart"/>
        <w:r w:rsidR="00652395" w:rsidRPr="00187EA0">
          <w:rPr>
            <w:rFonts w:asciiTheme="majorHAnsi" w:eastAsia="Times New Roman" w:hAnsiTheme="majorHAnsi" w:cstheme="majorHAnsi"/>
            <w:sz w:val="24"/>
            <w:szCs w:val="24"/>
            <w:u w:val="single"/>
            <w:lang w:eastAsia="fr-FR"/>
          </w:rPr>
          <w:t>DPO</w:t>
        </w:r>
        <w:proofErr w:type="spellEnd"/>
        <w:r w:rsidR="00652395" w:rsidRPr="00187EA0">
          <w:rPr>
            <w:rFonts w:asciiTheme="majorHAnsi" w:eastAsia="Times New Roman" w:hAnsiTheme="majorHAnsi" w:cstheme="majorHAnsi"/>
            <w:sz w:val="24"/>
            <w:szCs w:val="24"/>
            <w:u w:val="single"/>
            <w:lang w:eastAsia="fr-FR"/>
          </w:rPr>
          <w:t>/</w:t>
        </w:r>
        <w:proofErr w:type="spellStart"/>
        <w:r w:rsidR="00652395" w:rsidRPr="00187EA0">
          <w:rPr>
            <w:rFonts w:asciiTheme="majorHAnsi" w:eastAsia="Times New Roman" w:hAnsiTheme="majorHAnsi" w:cstheme="majorHAnsi"/>
            <w:sz w:val="24"/>
            <w:szCs w:val="24"/>
            <w:u w:val="single"/>
            <w:lang w:eastAsia="fr-FR"/>
          </w:rPr>
          <w:t>DPD</w:t>
        </w:r>
        <w:proofErr w:type="spellEnd"/>
        <w:r w:rsidR="00652395" w:rsidRPr="00187EA0">
          <w:rPr>
            <w:rFonts w:asciiTheme="majorHAnsi" w:eastAsia="Times New Roman" w:hAnsiTheme="majorHAnsi" w:cstheme="majorHAnsi"/>
            <w:sz w:val="24"/>
            <w:szCs w:val="24"/>
            <w:u w:val="single"/>
            <w:lang w:eastAsia="fr-FR"/>
          </w:rPr>
          <w:t>)</w:t>
        </w:r>
      </w:hyperlink>
      <w:r w:rsidR="00652395" w:rsidRPr="00187EA0">
        <w:rPr>
          <w:rFonts w:asciiTheme="majorHAnsi" w:eastAsia="Times New Roman" w:hAnsiTheme="majorHAnsi" w:cstheme="majorHAnsi"/>
          <w:sz w:val="24"/>
          <w:szCs w:val="24"/>
          <w:lang w:eastAsia="fr-FR"/>
        </w:rPr>
        <w:t xml:space="preserve"> : son rôle étant d’accompagner la structure dans ses démarches de mise en conformité au </w:t>
      </w:r>
      <w:proofErr w:type="spellStart"/>
      <w:r w:rsidR="00652395" w:rsidRPr="00187EA0">
        <w:rPr>
          <w:rFonts w:asciiTheme="majorHAnsi" w:eastAsia="Times New Roman" w:hAnsiTheme="majorHAnsi" w:cstheme="majorHAnsi"/>
          <w:sz w:val="24"/>
          <w:szCs w:val="24"/>
          <w:lang w:eastAsia="fr-FR"/>
        </w:rPr>
        <w:t>RGPD</w:t>
      </w:r>
      <w:proofErr w:type="spellEnd"/>
      <w:r w:rsidR="00652395" w:rsidRPr="00187EA0">
        <w:rPr>
          <w:rFonts w:asciiTheme="majorHAnsi" w:eastAsia="Times New Roman" w:hAnsiTheme="majorHAnsi" w:cstheme="majorHAnsi"/>
          <w:sz w:val="24"/>
          <w:szCs w:val="24"/>
          <w:lang w:eastAsia="fr-FR"/>
        </w:rPr>
        <w:t xml:space="preserve">. Il a vocation à être associé aux questions liées à la mise en œuvre effective des durées de conservation. Le </w:t>
      </w:r>
      <w:proofErr w:type="spellStart"/>
      <w:r w:rsidR="00652395" w:rsidRPr="00187EA0">
        <w:rPr>
          <w:rFonts w:asciiTheme="majorHAnsi" w:eastAsia="Times New Roman" w:hAnsiTheme="majorHAnsi" w:cstheme="majorHAnsi"/>
          <w:sz w:val="24"/>
          <w:szCs w:val="24"/>
          <w:lang w:eastAsia="fr-FR"/>
        </w:rPr>
        <w:t>DPO</w:t>
      </w:r>
      <w:proofErr w:type="spellEnd"/>
      <w:r w:rsidR="00652395" w:rsidRPr="00187EA0">
        <w:rPr>
          <w:rFonts w:asciiTheme="majorHAnsi" w:eastAsia="Times New Roman" w:hAnsiTheme="majorHAnsi" w:cstheme="majorHAnsi"/>
          <w:sz w:val="24"/>
          <w:szCs w:val="24"/>
          <w:lang w:eastAsia="fr-FR"/>
        </w:rPr>
        <w:t>/</w:t>
      </w:r>
      <w:proofErr w:type="spellStart"/>
      <w:r w:rsidR="00652395" w:rsidRPr="00187EA0">
        <w:rPr>
          <w:rFonts w:asciiTheme="majorHAnsi" w:eastAsia="Times New Roman" w:hAnsiTheme="majorHAnsi" w:cstheme="majorHAnsi"/>
          <w:sz w:val="24"/>
          <w:szCs w:val="24"/>
          <w:lang w:eastAsia="fr-FR"/>
        </w:rPr>
        <w:t>DPD</w:t>
      </w:r>
      <w:proofErr w:type="spellEnd"/>
      <w:r w:rsidR="00652395" w:rsidRPr="00187EA0">
        <w:rPr>
          <w:rFonts w:asciiTheme="majorHAnsi" w:eastAsia="Times New Roman" w:hAnsiTheme="majorHAnsi" w:cstheme="majorHAnsi"/>
          <w:sz w:val="24"/>
          <w:szCs w:val="24"/>
          <w:lang w:eastAsia="fr-FR"/>
        </w:rPr>
        <w:t xml:space="preserve"> peut, lorsque cela s’avère nécessaire, initier des échanges avec les différentes parties prenantes, formuler des recommandations ou encore s’assurer de l’effectivité des durées définies ;</w:t>
      </w:r>
    </w:p>
    <w:p w:rsidR="00652395" w:rsidRPr="00187EA0" w:rsidRDefault="00652395" w:rsidP="00D02D49">
      <w:pPr>
        <w:numPr>
          <w:ilvl w:val="0"/>
          <w:numId w:val="4"/>
        </w:numPr>
        <w:shd w:val="clear" w:color="auto" w:fill="FFFFFF"/>
        <w:spacing w:after="0" w:line="240" w:lineRule="auto"/>
        <w:ind w:left="0"/>
        <w:jc w:val="both"/>
        <w:rPr>
          <w:rFonts w:asciiTheme="majorHAnsi" w:eastAsia="Times New Roman" w:hAnsiTheme="majorHAnsi" w:cstheme="majorHAnsi"/>
          <w:sz w:val="24"/>
          <w:szCs w:val="24"/>
          <w:lang w:eastAsia="fr-FR"/>
        </w:rPr>
      </w:pPr>
      <w:proofErr w:type="gramStart"/>
      <w:r w:rsidRPr="00187EA0">
        <w:rPr>
          <w:rFonts w:asciiTheme="majorHAnsi" w:eastAsia="Times New Roman" w:hAnsiTheme="majorHAnsi" w:cstheme="majorHAnsi"/>
          <w:b/>
          <w:bCs/>
          <w:sz w:val="24"/>
          <w:szCs w:val="24"/>
          <w:lang w:eastAsia="fr-FR"/>
        </w:rPr>
        <w:lastRenderedPageBreak/>
        <w:t>du</w:t>
      </w:r>
      <w:proofErr w:type="gramEnd"/>
      <w:r w:rsidRPr="00187EA0">
        <w:rPr>
          <w:rFonts w:asciiTheme="majorHAnsi" w:eastAsia="Times New Roman" w:hAnsiTheme="majorHAnsi" w:cstheme="majorHAnsi"/>
          <w:b/>
          <w:bCs/>
          <w:sz w:val="24"/>
          <w:szCs w:val="24"/>
          <w:lang w:eastAsia="fr-FR"/>
        </w:rPr>
        <w:t xml:space="preserve"> service d’archives interne (ou la personne dédiée)</w:t>
      </w:r>
      <w:r w:rsidRPr="00187EA0">
        <w:rPr>
          <w:rFonts w:asciiTheme="majorHAnsi" w:eastAsia="Times New Roman" w:hAnsiTheme="majorHAnsi" w:cstheme="majorHAnsi"/>
          <w:sz w:val="24"/>
          <w:szCs w:val="24"/>
          <w:lang w:eastAsia="fr-FR"/>
        </w:rPr>
        <w:t> : relai du service d’archives territorialement compétent, il pourra éclairer la structure sur les règles et les pratiques en matière de conservation et d’archivage des données ;</w:t>
      </w:r>
    </w:p>
    <w:p w:rsidR="00652395" w:rsidRPr="00187EA0" w:rsidRDefault="00652395" w:rsidP="00D02D49">
      <w:pPr>
        <w:numPr>
          <w:ilvl w:val="0"/>
          <w:numId w:val="4"/>
        </w:numPr>
        <w:shd w:val="clear" w:color="auto" w:fill="FFFFFF"/>
        <w:spacing w:after="0" w:line="240" w:lineRule="auto"/>
        <w:ind w:left="0"/>
        <w:jc w:val="both"/>
        <w:rPr>
          <w:rFonts w:asciiTheme="majorHAnsi" w:eastAsia="Times New Roman" w:hAnsiTheme="majorHAnsi" w:cstheme="majorHAnsi"/>
          <w:sz w:val="24"/>
          <w:szCs w:val="24"/>
          <w:lang w:eastAsia="fr-FR"/>
        </w:rPr>
      </w:pPr>
      <w:proofErr w:type="gramStart"/>
      <w:r w:rsidRPr="00187EA0">
        <w:rPr>
          <w:rFonts w:asciiTheme="majorHAnsi" w:eastAsia="Times New Roman" w:hAnsiTheme="majorHAnsi" w:cstheme="majorHAnsi"/>
          <w:b/>
          <w:bCs/>
          <w:sz w:val="24"/>
          <w:szCs w:val="24"/>
          <w:lang w:eastAsia="fr-FR"/>
        </w:rPr>
        <w:t>des</w:t>
      </w:r>
      <w:proofErr w:type="gramEnd"/>
      <w:r w:rsidRPr="00187EA0">
        <w:rPr>
          <w:rFonts w:asciiTheme="majorHAnsi" w:eastAsia="Times New Roman" w:hAnsiTheme="majorHAnsi" w:cstheme="majorHAnsi"/>
          <w:b/>
          <w:bCs/>
          <w:sz w:val="24"/>
          <w:szCs w:val="24"/>
          <w:lang w:eastAsia="fr-FR"/>
        </w:rPr>
        <w:t xml:space="preserve"> archives départementales</w:t>
      </w:r>
      <w:r w:rsidRPr="00187EA0">
        <w:rPr>
          <w:rFonts w:asciiTheme="majorHAnsi" w:eastAsia="Times New Roman" w:hAnsiTheme="majorHAnsi" w:cstheme="majorHAnsi"/>
          <w:sz w:val="24"/>
          <w:szCs w:val="24"/>
          <w:lang w:eastAsia="fr-FR"/>
        </w:rPr>
        <w:t> qui pourront vous renseigner sur les obligations relatives aux archives publiques et vous guider dans leur mise en œuvre (détermination de la durée d’utilité administrative (</w:t>
      </w:r>
      <w:proofErr w:type="spellStart"/>
      <w:r w:rsidRPr="00187EA0">
        <w:rPr>
          <w:rFonts w:asciiTheme="majorHAnsi" w:eastAsia="Times New Roman" w:hAnsiTheme="majorHAnsi" w:cstheme="majorHAnsi"/>
          <w:sz w:val="24"/>
          <w:szCs w:val="24"/>
          <w:lang w:eastAsia="fr-FR"/>
        </w:rPr>
        <w:t>DUA</w:t>
      </w:r>
      <w:proofErr w:type="spellEnd"/>
      <w:r w:rsidRPr="00187EA0">
        <w:rPr>
          <w:rFonts w:asciiTheme="majorHAnsi" w:eastAsia="Times New Roman" w:hAnsiTheme="majorHAnsi" w:cstheme="majorHAnsi"/>
          <w:sz w:val="24"/>
          <w:szCs w:val="24"/>
          <w:lang w:eastAsia="fr-FR"/>
        </w:rPr>
        <w:t>) et du sort final des données) ;</w:t>
      </w:r>
    </w:p>
    <w:p w:rsidR="00652395" w:rsidRPr="00187EA0" w:rsidRDefault="00652395" w:rsidP="00D02D49">
      <w:pPr>
        <w:numPr>
          <w:ilvl w:val="0"/>
          <w:numId w:val="4"/>
        </w:numPr>
        <w:shd w:val="clear" w:color="auto" w:fill="FFFFFF"/>
        <w:spacing w:after="0" w:line="240" w:lineRule="auto"/>
        <w:ind w:left="0"/>
        <w:jc w:val="both"/>
        <w:rPr>
          <w:rFonts w:asciiTheme="majorHAnsi" w:eastAsia="Times New Roman" w:hAnsiTheme="majorHAnsi" w:cstheme="majorHAnsi"/>
          <w:sz w:val="24"/>
          <w:szCs w:val="24"/>
          <w:lang w:eastAsia="fr-FR"/>
        </w:rPr>
      </w:pPr>
      <w:proofErr w:type="gramStart"/>
      <w:r w:rsidRPr="00187EA0">
        <w:rPr>
          <w:rFonts w:asciiTheme="majorHAnsi" w:eastAsia="Times New Roman" w:hAnsiTheme="majorHAnsi" w:cstheme="majorHAnsi"/>
          <w:b/>
          <w:bCs/>
          <w:sz w:val="24"/>
          <w:szCs w:val="24"/>
          <w:lang w:eastAsia="fr-FR"/>
        </w:rPr>
        <w:t>d’un</w:t>
      </w:r>
      <w:proofErr w:type="gramEnd"/>
      <w:r w:rsidRPr="00187EA0">
        <w:rPr>
          <w:rFonts w:asciiTheme="majorHAnsi" w:eastAsia="Times New Roman" w:hAnsiTheme="majorHAnsi" w:cstheme="majorHAnsi"/>
          <w:b/>
          <w:bCs/>
          <w:sz w:val="24"/>
          <w:szCs w:val="24"/>
          <w:lang w:eastAsia="fr-FR"/>
        </w:rPr>
        <w:t xml:space="preserve"> organisme avec des activités similaires, des associations de délégués à la protection des données, des fédérations et syndicats professionnels </w:t>
      </w:r>
      <w:r w:rsidRPr="00187EA0">
        <w:rPr>
          <w:rFonts w:asciiTheme="majorHAnsi" w:eastAsia="Times New Roman" w:hAnsiTheme="majorHAnsi" w:cstheme="majorHAnsi"/>
          <w:sz w:val="24"/>
          <w:szCs w:val="24"/>
          <w:lang w:eastAsia="fr-FR"/>
        </w:rPr>
        <w:t>: le partage d’expériences peut en effet faciliter l’intégration des règles dans votre structure et la définition de bonnes pratiques ;</w:t>
      </w:r>
    </w:p>
    <w:p w:rsidR="00652395" w:rsidRPr="00187EA0" w:rsidRDefault="00652395" w:rsidP="00D02D49">
      <w:pPr>
        <w:numPr>
          <w:ilvl w:val="0"/>
          <w:numId w:val="4"/>
        </w:numPr>
        <w:shd w:val="clear" w:color="auto" w:fill="FFFFFF"/>
        <w:spacing w:after="0" w:line="240" w:lineRule="auto"/>
        <w:ind w:left="0"/>
        <w:jc w:val="both"/>
        <w:rPr>
          <w:rFonts w:asciiTheme="majorHAnsi" w:eastAsia="Times New Roman" w:hAnsiTheme="majorHAnsi" w:cstheme="majorHAnsi"/>
          <w:sz w:val="24"/>
          <w:szCs w:val="24"/>
          <w:lang w:eastAsia="fr-FR"/>
        </w:rPr>
      </w:pPr>
      <w:proofErr w:type="gramStart"/>
      <w:r w:rsidRPr="00187EA0">
        <w:rPr>
          <w:rFonts w:asciiTheme="majorHAnsi" w:eastAsia="Times New Roman" w:hAnsiTheme="majorHAnsi" w:cstheme="majorHAnsi"/>
          <w:b/>
          <w:bCs/>
          <w:sz w:val="24"/>
          <w:szCs w:val="24"/>
          <w:lang w:eastAsia="fr-FR"/>
        </w:rPr>
        <w:t>des</w:t>
      </w:r>
      <w:proofErr w:type="gramEnd"/>
      <w:r w:rsidRPr="00187EA0">
        <w:rPr>
          <w:rFonts w:asciiTheme="majorHAnsi" w:eastAsia="Times New Roman" w:hAnsiTheme="majorHAnsi" w:cstheme="majorHAnsi"/>
          <w:b/>
          <w:bCs/>
          <w:sz w:val="24"/>
          <w:szCs w:val="24"/>
          <w:lang w:eastAsia="fr-FR"/>
        </w:rPr>
        <w:t xml:space="preserve"> services déconcentrés de l’État </w:t>
      </w:r>
      <w:r w:rsidRPr="00187EA0">
        <w:rPr>
          <w:rFonts w:asciiTheme="majorHAnsi" w:eastAsia="Times New Roman" w:hAnsiTheme="majorHAnsi" w:cstheme="majorHAnsi"/>
          <w:sz w:val="24"/>
          <w:szCs w:val="24"/>
          <w:lang w:eastAsia="fr-FR"/>
        </w:rPr>
        <w:t>(la direction départementale de l’emploi, du travail, des solidarités et de la protection des populations (DDETSPP), l’agence régionale de santé (ARS), etc.), qui ont un rôle d’animation et de coordination des politiques publiques relatives à l’action sociale pouvant avoir des conséquences sur la définition des durées et modalités de conservation des données.</w:t>
      </w:r>
    </w:p>
    <w:p w:rsidR="00F01DFE" w:rsidRPr="00187EA0" w:rsidRDefault="00F01DFE" w:rsidP="00D02D49">
      <w:pPr>
        <w:numPr>
          <w:ilvl w:val="0"/>
          <w:numId w:val="4"/>
        </w:numPr>
        <w:shd w:val="clear" w:color="auto" w:fill="FFFFFF"/>
        <w:spacing w:after="0" w:line="240" w:lineRule="auto"/>
        <w:ind w:left="0"/>
        <w:jc w:val="both"/>
        <w:rPr>
          <w:rFonts w:asciiTheme="majorHAnsi" w:eastAsia="Times New Roman" w:hAnsiTheme="majorHAnsi" w:cstheme="majorHAnsi"/>
          <w:sz w:val="24"/>
          <w:szCs w:val="24"/>
          <w:lang w:eastAsia="fr-FR"/>
        </w:rPr>
      </w:pP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b/>
          <w:bCs/>
          <w:sz w:val="24"/>
          <w:szCs w:val="24"/>
          <w:shd w:val="clear" w:color="auto" w:fill="BDD6EE" w:themeFill="accent5" w:themeFillTint="66"/>
          <w:lang w:eastAsia="fr-FR"/>
        </w:rPr>
        <w:t>Attention</w:t>
      </w: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b/>
          <w:bCs/>
          <w:sz w:val="24"/>
          <w:szCs w:val="24"/>
          <w:lang w:eastAsia="fr-FR"/>
        </w:rPr>
        <w:t>Le responsable de traitement </w:t>
      </w:r>
      <w:r w:rsidRPr="00187EA0">
        <w:rPr>
          <w:rFonts w:asciiTheme="majorHAnsi" w:eastAsia="Times New Roman" w:hAnsiTheme="majorHAnsi" w:cstheme="majorHAnsi"/>
          <w:sz w:val="24"/>
          <w:szCs w:val="24"/>
          <w:lang w:eastAsia="fr-FR"/>
        </w:rPr>
        <w:t>(organe représentant la structure juridique : président, directeur, etc.) </w:t>
      </w:r>
      <w:r w:rsidRPr="00187EA0">
        <w:rPr>
          <w:rFonts w:asciiTheme="majorHAnsi" w:eastAsia="Times New Roman" w:hAnsiTheme="majorHAnsi" w:cstheme="majorHAnsi"/>
          <w:b/>
          <w:bCs/>
          <w:sz w:val="24"/>
          <w:szCs w:val="24"/>
          <w:lang w:eastAsia="fr-FR"/>
        </w:rPr>
        <w:t>doit valider les durées de conservation</w:t>
      </w:r>
      <w:r w:rsidRPr="00187EA0">
        <w:rPr>
          <w:rFonts w:asciiTheme="majorHAnsi" w:eastAsia="Times New Roman" w:hAnsiTheme="majorHAnsi" w:cstheme="majorHAnsi"/>
          <w:sz w:val="24"/>
          <w:szCs w:val="24"/>
          <w:lang w:eastAsia="fr-FR"/>
        </w:rPr>
        <w:t> avec l’accord, si nécessaire, des archives départementales (voir étape 3 « Déterminer la réglementation applicable »).</w:t>
      </w:r>
    </w:p>
    <w:p w:rsidR="00652395" w:rsidRPr="00187EA0" w:rsidRDefault="00652395" w:rsidP="00D02D49">
      <w:pPr>
        <w:shd w:val="clear" w:color="auto" w:fill="FFFFFF"/>
        <w:spacing w:before="225" w:after="225" w:line="240" w:lineRule="auto"/>
        <w:jc w:val="both"/>
        <w:rPr>
          <w:rFonts w:asciiTheme="majorHAnsi" w:eastAsia="Times New Roman" w:hAnsiTheme="majorHAnsi" w:cstheme="majorHAnsi"/>
          <w:sz w:val="27"/>
          <w:szCs w:val="27"/>
          <w:lang w:eastAsia="fr-FR"/>
        </w:rPr>
      </w:pPr>
    </w:p>
    <w:p w:rsidR="00652395" w:rsidRPr="00187EA0" w:rsidRDefault="00652395" w:rsidP="00D02D49">
      <w:pPr>
        <w:shd w:val="clear" w:color="auto" w:fill="FFFFFF"/>
        <w:spacing w:before="211" w:after="211" w:line="240" w:lineRule="auto"/>
        <w:jc w:val="both"/>
        <w:outlineLvl w:val="1"/>
        <w:rPr>
          <w:rFonts w:asciiTheme="majorHAnsi" w:eastAsia="Times New Roman" w:hAnsiTheme="majorHAnsi" w:cstheme="majorHAnsi"/>
          <w:b/>
          <w:bCs/>
          <w:sz w:val="36"/>
          <w:szCs w:val="36"/>
          <w:lang w:eastAsia="fr-FR"/>
        </w:rPr>
      </w:pPr>
      <w:r w:rsidRPr="00187EA0">
        <w:rPr>
          <w:rFonts w:asciiTheme="majorHAnsi" w:eastAsia="Times New Roman" w:hAnsiTheme="majorHAnsi" w:cstheme="majorHAnsi"/>
          <w:b/>
          <w:bCs/>
          <w:sz w:val="36"/>
          <w:szCs w:val="36"/>
          <w:lang w:eastAsia="fr-FR"/>
        </w:rPr>
        <w:t>Étape n° 2 : Comprendre les phases successives d’utilisation des données</w:t>
      </w:r>
    </w:p>
    <w:p w:rsidR="004A0D58" w:rsidRPr="00187EA0" w:rsidRDefault="004A0D58"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La conservation des données contenues dans un dossier n’est pas uniforme : les données personnelles vont obéir à un </w:t>
      </w:r>
      <w:r w:rsidRPr="00187EA0">
        <w:rPr>
          <w:rFonts w:asciiTheme="majorHAnsi" w:eastAsia="Times New Roman" w:hAnsiTheme="majorHAnsi" w:cstheme="majorHAnsi"/>
          <w:b/>
          <w:bCs/>
          <w:sz w:val="24"/>
          <w:szCs w:val="24"/>
          <w:lang w:eastAsia="fr-FR"/>
        </w:rPr>
        <w:t>cycle de vie</w:t>
      </w:r>
      <w:r w:rsidRPr="00187EA0">
        <w:rPr>
          <w:rFonts w:asciiTheme="majorHAnsi" w:eastAsia="Times New Roman" w:hAnsiTheme="majorHAnsi" w:cstheme="majorHAnsi"/>
          <w:sz w:val="24"/>
          <w:szCs w:val="24"/>
          <w:lang w:eastAsia="fr-FR"/>
        </w:rPr>
        <w:t> susceptible de comporter différentes « phases » successives d’utilisation en fonction du parcours de la personne accompagnée :</w:t>
      </w:r>
    </w:p>
    <w:p w:rsidR="004A0D58" w:rsidRPr="00187EA0" w:rsidRDefault="004A0D58" w:rsidP="00D02D49">
      <w:pPr>
        <w:shd w:val="clear" w:color="auto" w:fill="FFFFFF"/>
        <w:spacing w:before="100" w:beforeAutospacing="1" w:after="150" w:line="240" w:lineRule="auto"/>
        <w:jc w:val="both"/>
        <w:rPr>
          <w:rFonts w:asciiTheme="majorHAnsi" w:eastAsia="Times New Roman" w:hAnsiTheme="majorHAnsi" w:cstheme="majorHAnsi"/>
          <w:b/>
          <w:bCs/>
          <w:sz w:val="24"/>
          <w:szCs w:val="24"/>
          <w:lang w:eastAsia="fr-FR"/>
        </w:rPr>
      </w:pPr>
      <w:r w:rsidRPr="00187EA0">
        <w:rPr>
          <w:rFonts w:asciiTheme="majorHAnsi" w:eastAsia="Times New Roman" w:hAnsiTheme="majorHAnsi" w:cstheme="majorHAnsi"/>
          <w:b/>
          <w:bCs/>
          <w:sz w:val="24"/>
          <w:szCs w:val="24"/>
          <w:lang w:eastAsia="fr-FR"/>
        </w:rPr>
        <w:t>Le cycle de vie de la donnée</w:t>
      </w:r>
    </w:p>
    <w:p w:rsidR="004A0D58" w:rsidRPr="00187EA0" w:rsidRDefault="004A0D58" w:rsidP="00D02D49">
      <w:pPr>
        <w:shd w:val="clear" w:color="auto" w:fill="FFFFFF"/>
        <w:spacing w:before="100" w:beforeAutospacing="1" w:after="150"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Pour un même traitement, les données personnelles poursuivent des phases successives. On parle de « cycle de vie » de la donnée personnelle. </w:t>
      </w:r>
    </w:p>
    <w:p w:rsidR="004A0D58" w:rsidRPr="00187EA0" w:rsidRDefault="004A0D58" w:rsidP="00D02D49">
      <w:pPr>
        <w:shd w:val="clear" w:color="auto" w:fill="FFFFFF"/>
        <w:spacing w:before="100" w:beforeAutospacing="1" w:after="150"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Ce cycle connaît trois phases :</w:t>
      </w:r>
    </w:p>
    <w:p w:rsidR="004A0D58" w:rsidRPr="00187EA0" w:rsidRDefault="004A0D58" w:rsidP="00D02D49">
      <w:pPr>
        <w:numPr>
          <w:ilvl w:val="0"/>
          <w:numId w:val="26"/>
        </w:numPr>
        <w:shd w:val="clear" w:color="auto" w:fill="FFFFFF"/>
        <w:spacing w:before="100" w:beforeAutospacing="1" w:after="150"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Conservation en base active </w:t>
      </w:r>
    </w:p>
    <w:p w:rsidR="004A0D58" w:rsidRPr="00187EA0" w:rsidRDefault="004A0D58" w:rsidP="00D02D49">
      <w:pPr>
        <w:shd w:val="clear" w:color="auto" w:fill="FFFFFF"/>
        <w:spacing w:before="100" w:beforeAutospacing="1" w:after="150"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Il s’agit de la durée nécessaire à la réalisation de l’objectif (finalité du traitement) ayant justifié la collecte/enregistrement des données. Par exemple, dans une entreprise, les données d’un candidat non retenu seront conservées pendant 2 ans maximum (sauf s’il en demande l’effacement) par le service des ressources humaines.</w:t>
      </w:r>
    </w:p>
    <w:p w:rsidR="004A0D58" w:rsidRPr="00187EA0" w:rsidRDefault="004A0D58" w:rsidP="00D02D49">
      <w:pPr>
        <w:shd w:val="clear" w:color="auto" w:fill="FFFFFF"/>
        <w:spacing w:before="100" w:beforeAutospacing="1" w:after="150"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lastRenderedPageBreak/>
        <w:t>En pratique, les données seront alors facilement accessibles dans l’environnement de travail immédiat pour les services opérationnels qui sont en charge de ce traitement (ex : le service des ressources humaines pour les opérations de recrutement) ;</w:t>
      </w:r>
    </w:p>
    <w:p w:rsidR="004A0D58" w:rsidRPr="00187EA0" w:rsidRDefault="004A0D58" w:rsidP="00D02D49">
      <w:pPr>
        <w:numPr>
          <w:ilvl w:val="0"/>
          <w:numId w:val="27"/>
        </w:numPr>
        <w:shd w:val="clear" w:color="auto" w:fill="FFFFFF"/>
        <w:spacing w:before="100" w:beforeAutospacing="1" w:after="150"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Archivage intermédiaire </w:t>
      </w:r>
    </w:p>
    <w:p w:rsidR="004A0D58" w:rsidRPr="00187EA0" w:rsidRDefault="004A0D58" w:rsidP="00D02D49">
      <w:pPr>
        <w:shd w:val="clear" w:color="auto" w:fill="FFFFFF"/>
        <w:spacing w:before="100" w:beforeAutospacing="1" w:after="150"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Les données personnelles ne sont plus utilisées pour atteindre l’objectif fixé (« dossiers clos ») mais présentent encore un intérêt administratif pour l'organisme (ex : gestion d’un éventuel contentieux, etc.) ou doivent être conservées pour répondre à une obligation légale (par exemple, les données de facturation doivent être conservées dix ans en application du Code de commerce, même si la personne concernée n’est plus cliente). Les données peuvent alors être consultées de manière ponctuelle et motivée par des personnes spécifiquement habilitées ;</w:t>
      </w:r>
    </w:p>
    <w:p w:rsidR="004A0D58" w:rsidRPr="00187EA0" w:rsidRDefault="004A0D58" w:rsidP="00D02D49">
      <w:pPr>
        <w:numPr>
          <w:ilvl w:val="0"/>
          <w:numId w:val="28"/>
        </w:numPr>
        <w:shd w:val="clear" w:color="auto" w:fill="FFFFFF"/>
        <w:spacing w:before="100" w:beforeAutospacing="1" w:after="150"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Archivage définitif </w:t>
      </w:r>
    </w:p>
    <w:p w:rsidR="004A0D58" w:rsidRPr="00187EA0" w:rsidRDefault="004A0D58" w:rsidP="00D02D49">
      <w:pPr>
        <w:shd w:val="clear" w:color="auto" w:fill="FFFFFF"/>
        <w:spacing w:before="100" w:beforeAutospacing="1" w:after="150"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En raison de leur « valeur » et intérêt, certaines informations sont archivées de manière définitive et pérenne.</w:t>
      </w:r>
    </w:p>
    <w:p w:rsidR="004A0D58" w:rsidRPr="00187EA0" w:rsidRDefault="004A0D58" w:rsidP="00D02D49">
      <w:pPr>
        <w:shd w:val="clear" w:color="auto" w:fill="FFFFFF"/>
        <w:spacing w:before="100" w:beforeAutospacing="1" w:after="150"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À la différence de la conservation en base active, les deux dernières étapes ne sont pas systématiquement mises en place. Leur nécessité doit être évaluée pour chaque traitement, et, pour chacune de ces phases, un tri sera opéré entre les données.</w:t>
      </w:r>
    </w:p>
    <w:p w:rsidR="004A0D58" w:rsidRPr="00187EA0" w:rsidRDefault="004A0D58" w:rsidP="00D02D49">
      <w:pPr>
        <w:shd w:val="clear" w:color="auto" w:fill="FFFFFF"/>
        <w:spacing w:before="100" w:beforeAutospacing="1" w:after="150" w:line="240" w:lineRule="auto"/>
        <w:jc w:val="both"/>
        <w:rPr>
          <w:rFonts w:asciiTheme="majorHAnsi" w:eastAsia="Times New Roman" w:hAnsiTheme="majorHAnsi" w:cstheme="majorHAnsi"/>
          <w:sz w:val="24"/>
          <w:szCs w:val="24"/>
          <w:lang w:eastAsia="fr-FR"/>
        </w:rPr>
      </w:pP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Pour chaque traitement et catégorie de données, votre organisme doit identifier la durée pertinente pour chacune des « phases » d’utilisation de ces données :</w:t>
      </w:r>
    </w:p>
    <w:p w:rsidR="004A0D58" w:rsidRPr="00187EA0" w:rsidRDefault="004A0D58" w:rsidP="00D02D49">
      <w:pPr>
        <w:shd w:val="clear" w:color="auto" w:fill="FFFFFF"/>
        <w:spacing w:before="211" w:after="211" w:line="240" w:lineRule="auto"/>
        <w:jc w:val="both"/>
        <w:rPr>
          <w:rFonts w:asciiTheme="majorHAnsi" w:eastAsia="Times New Roman" w:hAnsiTheme="majorHAnsi" w:cstheme="majorHAnsi"/>
          <w:sz w:val="24"/>
          <w:szCs w:val="24"/>
          <w:lang w:eastAsia="fr-FR"/>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20"/>
        <w:gridCol w:w="3019"/>
        <w:gridCol w:w="3017"/>
      </w:tblGrid>
      <w:tr w:rsidR="00187EA0" w:rsidRPr="00187EA0" w:rsidTr="00652395">
        <w:trPr>
          <w:tblHeader/>
        </w:trPr>
        <w:tc>
          <w:tcPr>
            <w:tcW w:w="1667" w:type="pct"/>
            <w:tcBorders>
              <w:top w:val="outset" w:sz="6" w:space="0" w:color="auto"/>
              <w:left w:val="single" w:sz="6" w:space="0" w:color="3879BF"/>
              <w:bottom w:val="single" w:sz="6" w:space="0" w:color="3879BF"/>
              <w:right w:val="outset" w:sz="6" w:space="0" w:color="auto"/>
            </w:tcBorders>
            <w:shd w:val="clear" w:color="auto" w:fill="3879BF"/>
            <w:tcMar>
              <w:top w:w="150" w:type="dxa"/>
              <w:left w:w="105" w:type="dxa"/>
              <w:bottom w:w="150" w:type="dxa"/>
              <w:right w:w="105" w:type="dxa"/>
            </w:tcMar>
            <w:vAlign w:val="center"/>
            <w:hideMark/>
          </w:tcPr>
          <w:p w:rsidR="00652395" w:rsidRPr="00187EA0" w:rsidRDefault="00652395" w:rsidP="00D02D49">
            <w:pPr>
              <w:spacing w:after="0" w:line="240" w:lineRule="auto"/>
              <w:jc w:val="both"/>
              <w:rPr>
                <w:rFonts w:asciiTheme="majorHAnsi" w:eastAsia="Times New Roman" w:hAnsiTheme="majorHAnsi" w:cstheme="majorHAnsi"/>
                <w:caps/>
                <w:sz w:val="27"/>
                <w:szCs w:val="27"/>
                <w:lang w:eastAsia="fr-FR"/>
              </w:rPr>
            </w:pPr>
            <w:r w:rsidRPr="00187EA0">
              <w:rPr>
                <w:rFonts w:asciiTheme="majorHAnsi" w:eastAsia="Times New Roman" w:hAnsiTheme="majorHAnsi" w:cstheme="majorHAnsi"/>
                <w:caps/>
                <w:sz w:val="27"/>
                <w:szCs w:val="27"/>
                <w:lang w:eastAsia="fr-FR"/>
              </w:rPr>
              <w:t>« PHASES » D’UTILISATION DES DONNÉES</w:t>
            </w:r>
          </w:p>
        </w:tc>
        <w:tc>
          <w:tcPr>
            <w:tcW w:w="1667" w:type="pct"/>
            <w:tcBorders>
              <w:top w:val="outset" w:sz="6" w:space="0" w:color="auto"/>
              <w:left w:val="single" w:sz="6" w:space="0" w:color="FFFFFF"/>
              <w:bottom w:val="single" w:sz="6" w:space="0" w:color="3879BF"/>
              <w:right w:val="outset" w:sz="6" w:space="0" w:color="auto"/>
            </w:tcBorders>
            <w:shd w:val="clear" w:color="auto" w:fill="3879BF"/>
            <w:tcMar>
              <w:top w:w="150" w:type="dxa"/>
              <w:left w:w="105" w:type="dxa"/>
              <w:bottom w:w="150" w:type="dxa"/>
              <w:right w:w="105" w:type="dxa"/>
            </w:tcMar>
            <w:vAlign w:val="center"/>
            <w:hideMark/>
          </w:tcPr>
          <w:p w:rsidR="00652395" w:rsidRPr="00187EA0" w:rsidRDefault="00652395" w:rsidP="00D02D49">
            <w:pPr>
              <w:spacing w:after="0" w:line="240" w:lineRule="auto"/>
              <w:jc w:val="both"/>
              <w:rPr>
                <w:rFonts w:asciiTheme="majorHAnsi" w:eastAsia="Times New Roman" w:hAnsiTheme="majorHAnsi" w:cstheme="majorHAnsi"/>
                <w:caps/>
                <w:sz w:val="27"/>
                <w:szCs w:val="27"/>
                <w:lang w:eastAsia="fr-FR"/>
              </w:rPr>
            </w:pPr>
            <w:r w:rsidRPr="00187EA0">
              <w:rPr>
                <w:rFonts w:asciiTheme="majorHAnsi" w:eastAsia="Times New Roman" w:hAnsiTheme="majorHAnsi" w:cstheme="majorHAnsi"/>
                <w:caps/>
                <w:sz w:val="27"/>
                <w:szCs w:val="27"/>
                <w:lang w:eastAsia="fr-FR"/>
              </w:rPr>
              <w:t>DE QUOI S'AGIT-IL ?</w:t>
            </w:r>
          </w:p>
        </w:tc>
        <w:tc>
          <w:tcPr>
            <w:tcW w:w="1667" w:type="pct"/>
            <w:tcBorders>
              <w:top w:val="outset" w:sz="6" w:space="0" w:color="auto"/>
              <w:left w:val="single" w:sz="6" w:space="0" w:color="FFFFFF"/>
              <w:bottom w:val="single" w:sz="6" w:space="0" w:color="3879BF"/>
              <w:right w:val="single" w:sz="6" w:space="0" w:color="3879BF"/>
            </w:tcBorders>
            <w:shd w:val="clear" w:color="auto" w:fill="3879BF"/>
            <w:tcMar>
              <w:top w:w="150" w:type="dxa"/>
              <w:left w:w="105" w:type="dxa"/>
              <w:bottom w:w="150" w:type="dxa"/>
              <w:right w:w="105" w:type="dxa"/>
            </w:tcMar>
            <w:vAlign w:val="center"/>
            <w:hideMark/>
          </w:tcPr>
          <w:p w:rsidR="00652395" w:rsidRPr="00187EA0" w:rsidRDefault="00652395" w:rsidP="00D02D49">
            <w:pPr>
              <w:spacing w:after="0" w:line="240" w:lineRule="auto"/>
              <w:jc w:val="both"/>
              <w:rPr>
                <w:rFonts w:asciiTheme="majorHAnsi" w:eastAsia="Times New Roman" w:hAnsiTheme="majorHAnsi" w:cstheme="majorHAnsi"/>
                <w:caps/>
                <w:sz w:val="27"/>
                <w:szCs w:val="27"/>
                <w:lang w:eastAsia="fr-FR"/>
              </w:rPr>
            </w:pPr>
            <w:r w:rsidRPr="00187EA0">
              <w:rPr>
                <w:rFonts w:asciiTheme="majorHAnsi" w:eastAsia="Times New Roman" w:hAnsiTheme="majorHAnsi" w:cstheme="majorHAnsi"/>
                <w:caps/>
                <w:sz w:val="27"/>
                <w:szCs w:val="27"/>
                <w:lang w:eastAsia="fr-FR"/>
              </w:rPr>
              <w:t>EXEMPLES</w:t>
            </w:r>
          </w:p>
        </w:tc>
      </w:tr>
      <w:tr w:rsidR="00187EA0" w:rsidRPr="00187EA0" w:rsidTr="00652395">
        <w:tc>
          <w:tcPr>
            <w:tcW w:w="1667" w:type="pct"/>
            <w:tcBorders>
              <w:top w:val="single" w:sz="6" w:space="0" w:color="000000"/>
              <w:left w:val="single" w:sz="6" w:space="0" w:color="000000"/>
              <w:bottom w:val="single" w:sz="6" w:space="0" w:color="000000"/>
              <w:right w:val="single" w:sz="6" w:space="0" w:color="000000"/>
            </w:tcBorders>
            <w:shd w:val="clear" w:color="auto" w:fill="auto"/>
            <w:tcMar>
              <w:top w:w="150" w:type="dxa"/>
              <w:left w:w="105" w:type="dxa"/>
              <w:bottom w:w="150" w:type="dxa"/>
              <w:right w:w="105" w:type="dxa"/>
            </w:tcMar>
            <w:vAlign w:val="center"/>
            <w:hideMark/>
          </w:tcPr>
          <w:p w:rsidR="00652395" w:rsidRPr="00187EA0" w:rsidRDefault="00652395" w:rsidP="00D02D49">
            <w:pPr>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b/>
                <w:bCs/>
                <w:sz w:val="24"/>
                <w:szCs w:val="24"/>
                <w:lang w:eastAsia="fr-FR"/>
              </w:rPr>
              <w:t>Utilisation courante</w:t>
            </w:r>
            <w:r w:rsidRPr="00187EA0">
              <w:rPr>
                <w:rFonts w:asciiTheme="majorHAnsi" w:eastAsia="Times New Roman" w:hAnsiTheme="majorHAnsi" w:cstheme="majorHAnsi"/>
                <w:sz w:val="24"/>
                <w:szCs w:val="24"/>
                <w:lang w:eastAsia="fr-FR"/>
              </w:rPr>
              <w:t> ou base active</w:t>
            </w:r>
          </w:p>
          <w:p w:rsidR="00652395" w:rsidRPr="00187EA0" w:rsidRDefault="00652395" w:rsidP="00D02D49">
            <w:pPr>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w:t>
            </w:r>
            <w:proofErr w:type="gramStart"/>
            <w:r w:rsidRPr="00187EA0">
              <w:rPr>
                <w:rFonts w:asciiTheme="majorHAnsi" w:eastAsia="Times New Roman" w:hAnsiTheme="majorHAnsi" w:cstheme="majorHAnsi"/>
                <w:sz w:val="24"/>
                <w:szCs w:val="24"/>
                <w:lang w:eastAsia="fr-FR"/>
              </w:rPr>
              <w:t>dossier</w:t>
            </w:r>
            <w:proofErr w:type="gramEnd"/>
            <w:r w:rsidRPr="00187EA0">
              <w:rPr>
                <w:rFonts w:asciiTheme="majorHAnsi" w:eastAsia="Times New Roman" w:hAnsiTheme="majorHAnsi" w:cstheme="majorHAnsi"/>
                <w:sz w:val="24"/>
                <w:szCs w:val="24"/>
                <w:lang w:eastAsia="fr-FR"/>
              </w:rPr>
              <w:t xml:space="preserve"> « actif » / ouvert, accessible par les opérationnels en charge de l’accompagnement de l’usager)</w:t>
            </w:r>
          </w:p>
        </w:tc>
        <w:tc>
          <w:tcPr>
            <w:tcW w:w="1667" w:type="pct"/>
            <w:tcBorders>
              <w:top w:val="single" w:sz="6" w:space="0" w:color="000000"/>
              <w:left w:val="single" w:sz="6" w:space="0" w:color="000000"/>
              <w:bottom w:val="single" w:sz="6" w:space="0" w:color="000000"/>
              <w:right w:val="single" w:sz="6" w:space="0" w:color="000000"/>
            </w:tcBorders>
            <w:shd w:val="clear" w:color="auto" w:fill="auto"/>
            <w:tcMar>
              <w:top w:w="150" w:type="dxa"/>
              <w:left w:w="105" w:type="dxa"/>
              <w:bottom w:w="150" w:type="dxa"/>
              <w:right w:w="105" w:type="dxa"/>
            </w:tcMar>
            <w:vAlign w:val="center"/>
            <w:hideMark/>
          </w:tcPr>
          <w:p w:rsidR="00652395" w:rsidRPr="00187EA0" w:rsidRDefault="00652395" w:rsidP="00D02D49">
            <w:pPr>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Les données sont en cours d’utilisation par les services opérationnels en charge de l’accompagnement.</w:t>
            </w:r>
          </w:p>
          <w:p w:rsidR="00652395" w:rsidRPr="00187EA0" w:rsidRDefault="00652395" w:rsidP="00D02D49">
            <w:pPr>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Attention : seules les données ou documents utiles à l’accompagnement peuvent être conservés dans le dossier actif.</w:t>
            </w:r>
          </w:p>
          <w:p w:rsidR="00652395" w:rsidRPr="00187EA0" w:rsidRDefault="00652395" w:rsidP="00D02D49">
            <w:pPr>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 xml:space="preserve">Cela signifie que certains éléments devront faire l’objet d’une suppression ou </w:t>
            </w:r>
            <w:r w:rsidRPr="00187EA0">
              <w:rPr>
                <w:rFonts w:asciiTheme="majorHAnsi" w:eastAsia="Times New Roman" w:hAnsiTheme="majorHAnsi" w:cstheme="majorHAnsi"/>
                <w:sz w:val="24"/>
                <w:szCs w:val="24"/>
                <w:lang w:eastAsia="fr-FR"/>
              </w:rPr>
              <w:lastRenderedPageBreak/>
              <w:t>d’un archivage même si un accompagnement est toujours en cours.</w:t>
            </w:r>
          </w:p>
        </w:tc>
        <w:tc>
          <w:tcPr>
            <w:tcW w:w="1667" w:type="pct"/>
            <w:tcBorders>
              <w:top w:val="single" w:sz="6" w:space="0" w:color="000000"/>
              <w:left w:val="single" w:sz="6" w:space="0" w:color="000000"/>
              <w:bottom w:val="single" w:sz="6" w:space="0" w:color="000000"/>
              <w:right w:val="single" w:sz="6" w:space="0" w:color="000000"/>
            </w:tcBorders>
            <w:shd w:val="clear" w:color="auto" w:fill="auto"/>
            <w:tcMar>
              <w:top w:w="150" w:type="dxa"/>
              <w:left w:w="105" w:type="dxa"/>
              <w:bottom w:w="150" w:type="dxa"/>
              <w:right w:w="105" w:type="dxa"/>
            </w:tcMar>
            <w:vAlign w:val="center"/>
            <w:hideMark/>
          </w:tcPr>
          <w:p w:rsidR="00652395" w:rsidRPr="00187EA0" w:rsidRDefault="00652395" w:rsidP="00D02D49">
            <w:pPr>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lastRenderedPageBreak/>
              <w:t>Un dossier « papier » ou dossier numérique actif d’une personne accompagnée au sein d’un établissement social et / ou médico-social.</w:t>
            </w:r>
          </w:p>
          <w:p w:rsidR="00652395" w:rsidRPr="00187EA0" w:rsidRDefault="00652395" w:rsidP="00D02D49">
            <w:pPr>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Pourront être archivés au fil du temps : le projet personnalisé réalisé de la personne accompagnée, les évaluations sociales antérieures, etc.</w:t>
            </w:r>
          </w:p>
          <w:p w:rsidR="00652395" w:rsidRPr="00187EA0" w:rsidRDefault="00652395" w:rsidP="00D02D49">
            <w:pPr>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lastRenderedPageBreak/>
              <w:t>Pourront être supprimés : le planning des activités antérieures, etc.</w:t>
            </w:r>
          </w:p>
        </w:tc>
      </w:tr>
      <w:tr w:rsidR="00187EA0" w:rsidRPr="00187EA0" w:rsidTr="00652395">
        <w:tc>
          <w:tcPr>
            <w:tcW w:w="5000" w:type="pct"/>
            <w:gridSpan w:val="3"/>
            <w:tcBorders>
              <w:top w:val="single" w:sz="6" w:space="0" w:color="000000"/>
              <w:left w:val="single" w:sz="6" w:space="0" w:color="000000"/>
              <w:bottom w:val="single" w:sz="6" w:space="0" w:color="000000"/>
              <w:right w:val="single" w:sz="6" w:space="0" w:color="000000"/>
            </w:tcBorders>
            <w:shd w:val="clear" w:color="auto" w:fill="F1F0EA"/>
            <w:tcMar>
              <w:top w:w="150" w:type="dxa"/>
              <w:left w:w="105" w:type="dxa"/>
              <w:bottom w:w="150" w:type="dxa"/>
              <w:right w:w="105" w:type="dxa"/>
            </w:tcMar>
            <w:vAlign w:val="center"/>
            <w:hideMark/>
          </w:tcPr>
          <w:p w:rsidR="00652395" w:rsidRPr="00187EA0" w:rsidRDefault="00652395" w:rsidP="00D02D49">
            <w:pPr>
              <w:spacing w:after="0"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b/>
                <w:bCs/>
                <w:sz w:val="24"/>
                <w:szCs w:val="24"/>
                <w:lang w:eastAsia="fr-FR"/>
              </w:rPr>
              <w:lastRenderedPageBreak/>
              <w:t>&gt; Suppression/anonymisation ou archivage</w:t>
            </w:r>
          </w:p>
        </w:tc>
      </w:tr>
      <w:tr w:rsidR="00187EA0" w:rsidRPr="00187EA0" w:rsidTr="00652395">
        <w:tc>
          <w:tcPr>
            <w:tcW w:w="1667" w:type="pct"/>
            <w:tcBorders>
              <w:top w:val="single" w:sz="6" w:space="0" w:color="000000"/>
              <w:left w:val="single" w:sz="6" w:space="0" w:color="000000"/>
              <w:bottom w:val="single" w:sz="6" w:space="0" w:color="000000"/>
              <w:right w:val="single" w:sz="6" w:space="0" w:color="000000"/>
            </w:tcBorders>
            <w:shd w:val="clear" w:color="auto" w:fill="auto"/>
            <w:tcMar>
              <w:top w:w="150" w:type="dxa"/>
              <w:left w:w="105" w:type="dxa"/>
              <w:bottom w:w="150" w:type="dxa"/>
              <w:right w:w="105" w:type="dxa"/>
            </w:tcMar>
            <w:vAlign w:val="center"/>
            <w:hideMark/>
          </w:tcPr>
          <w:p w:rsidR="00652395" w:rsidRPr="00187EA0" w:rsidRDefault="00652395" w:rsidP="00D02D49">
            <w:pPr>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b/>
                <w:bCs/>
                <w:sz w:val="24"/>
                <w:szCs w:val="24"/>
                <w:lang w:eastAsia="fr-FR"/>
              </w:rPr>
              <w:t>Archivage intermédiaire</w:t>
            </w:r>
          </w:p>
          <w:p w:rsidR="00652395" w:rsidRPr="00187EA0" w:rsidRDefault="00652395" w:rsidP="00D02D49">
            <w:pPr>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w:t>
            </w:r>
            <w:proofErr w:type="gramStart"/>
            <w:r w:rsidRPr="00187EA0">
              <w:rPr>
                <w:rFonts w:asciiTheme="majorHAnsi" w:eastAsia="Times New Roman" w:hAnsiTheme="majorHAnsi" w:cstheme="majorHAnsi"/>
                <w:sz w:val="24"/>
                <w:szCs w:val="24"/>
                <w:lang w:eastAsia="fr-FR"/>
              </w:rPr>
              <w:t>dossier</w:t>
            </w:r>
            <w:proofErr w:type="gramEnd"/>
            <w:r w:rsidRPr="00187EA0">
              <w:rPr>
                <w:rFonts w:asciiTheme="majorHAnsi" w:eastAsia="Times New Roman" w:hAnsiTheme="majorHAnsi" w:cstheme="majorHAnsi"/>
                <w:sz w:val="24"/>
                <w:szCs w:val="24"/>
                <w:lang w:eastAsia="fr-FR"/>
              </w:rPr>
              <w:t xml:space="preserve"> en accès restreint : limitation des accès informatiques ou transfert des dossiers papier dans un local spécifique)</w:t>
            </w:r>
          </w:p>
        </w:tc>
        <w:tc>
          <w:tcPr>
            <w:tcW w:w="1667" w:type="pct"/>
            <w:tcBorders>
              <w:top w:val="single" w:sz="6" w:space="0" w:color="000000"/>
              <w:left w:val="single" w:sz="6" w:space="0" w:color="000000"/>
              <w:bottom w:val="single" w:sz="6" w:space="0" w:color="000000"/>
              <w:right w:val="single" w:sz="6" w:space="0" w:color="000000"/>
            </w:tcBorders>
            <w:shd w:val="clear" w:color="auto" w:fill="auto"/>
            <w:tcMar>
              <w:top w:w="150" w:type="dxa"/>
              <w:left w:w="105" w:type="dxa"/>
              <w:bottom w:w="150" w:type="dxa"/>
              <w:right w:w="105" w:type="dxa"/>
            </w:tcMar>
            <w:vAlign w:val="center"/>
            <w:hideMark/>
          </w:tcPr>
          <w:p w:rsidR="00652395" w:rsidRPr="00187EA0" w:rsidRDefault="00652395" w:rsidP="00D02D49">
            <w:pPr>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Les données ne sont plus nécessaires pour l’accompagnement de l’usager : il n’est plus nécessaire d’y accéder couramment. Elles présentent cependant encore un intérêt pour la structure :</w:t>
            </w:r>
          </w:p>
          <w:p w:rsidR="00652395" w:rsidRPr="00187EA0" w:rsidRDefault="00652395" w:rsidP="00D02D49">
            <w:pPr>
              <w:numPr>
                <w:ilvl w:val="0"/>
                <w:numId w:val="6"/>
              </w:numPr>
              <w:spacing w:after="0" w:line="240" w:lineRule="auto"/>
              <w:ind w:left="0"/>
              <w:jc w:val="both"/>
              <w:rPr>
                <w:rFonts w:asciiTheme="majorHAnsi" w:eastAsia="Times New Roman" w:hAnsiTheme="majorHAnsi" w:cstheme="majorHAnsi"/>
                <w:sz w:val="24"/>
                <w:szCs w:val="24"/>
                <w:lang w:eastAsia="fr-FR"/>
              </w:rPr>
            </w:pPr>
            <w:proofErr w:type="gramStart"/>
            <w:r w:rsidRPr="00187EA0">
              <w:rPr>
                <w:rFonts w:asciiTheme="majorHAnsi" w:eastAsia="Times New Roman" w:hAnsiTheme="majorHAnsi" w:cstheme="majorHAnsi"/>
                <w:sz w:val="24"/>
                <w:szCs w:val="24"/>
                <w:lang w:eastAsia="fr-FR"/>
              </w:rPr>
              <w:t>soit</w:t>
            </w:r>
            <w:proofErr w:type="gramEnd"/>
            <w:r w:rsidRPr="00187EA0">
              <w:rPr>
                <w:rFonts w:asciiTheme="majorHAnsi" w:eastAsia="Times New Roman" w:hAnsiTheme="majorHAnsi" w:cstheme="majorHAnsi"/>
                <w:sz w:val="24"/>
                <w:szCs w:val="24"/>
                <w:lang w:eastAsia="fr-FR"/>
              </w:rPr>
              <w:t xml:space="preserve"> pour répondre à une obligation légale (p. ex. : obligation comptable, sociale ou fiscale) ;</w:t>
            </w:r>
          </w:p>
          <w:p w:rsidR="00652395" w:rsidRPr="00187EA0" w:rsidRDefault="00652395" w:rsidP="00D02D49">
            <w:pPr>
              <w:numPr>
                <w:ilvl w:val="0"/>
                <w:numId w:val="6"/>
              </w:numPr>
              <w:spacing w:after="0" w:line="240" w:lineRule="auto"/>
              <w:ind w:left="0"/>
              <w:jc w:val="both"/>
              <w:rPr>
                <w:rFonts w:asciiTheme="majorHAnsi" w:eastAsia="Times New Roman" w:hAnsiTheme="majorHAnsi" w:cstheme="majorHAnsi"/>
                <w:sz w:val="24"/>
                <w:szCs w:val="24"/>
                <w:lang w:eastAsia="fr-FR"/>
              </w:rPr>
            </w:pPr>
            <w:proofErr w:type="gramStart"/>
            <w:r w:rsidRPr="00187EA0">
              <w:rPr>
                <w:rFonts w:asciiTheme="majorHAnsi" w:eastAsia="Times New Roman" w:hAnsiTheme="majorHAnsi" w:cstheme="majorHAnsi"/>
                <w:sz w:val="24"/>
                <w:szCs w:val="24"/>
                <w:lang w:eastAsia="fr-FR"/>
              </w:rPr>
              <w:t>soit</w:t>
            </w:r>
            <w:proofErr w:type="gramEnd"/>
            <w:r w:rsidRPr="00187EA0">
              <w:rPr>
                <w:rFonts w:asciiTheme="majorHAnsi" w:eastAsia="Times New Roman" w:hAnsiTheme="majorHAnsi" w:cstheme="majorHAnsi"/>
                <w:sz w:val="24"/>
                <w:szCs w:val="24"/>
                <w:lang w:eastAsia="fr-FR"/>
              </w:rPr>
              <w:t xml:space="preserve"> en raison de l’intérêt administratif (p. ex. : utilisation à des fins probatoires dans la limite du délai de prescription / forclusion applicable).</w:t>
            </w:r>
          </w:p>
        </w:tc>
        <w:tc>
          <w:tcPr>
            <w:tcW w:w="1667" w:type="pct"/>
            <w:tcBorders>
              <w:top w:val="single" w:sz="6" w:space="0" w:color="000000"/>
              <w:left w:val="single" w:sz="6" w:space="0" w:color="000000"/>
              <w:bottom w:val="single" w:sz="6" w:space="0" w:color="000000"/>
              <w:right w:val="single" w:sz="6" w:space="0" w:color="000000"/>
            </w:tcBorders>
            <w:shd w:val="clear" w:color="auto" w:fill="auto"/>
            <w:tcMar>
              <w:top w:w="150" w:type="dxa"/>
              <w:left w:w="105" w:type="dxa"/>
              <w:bottom w:w="150" w:type="dxa"/>
              <w:right w:w="105" w:type="dxa"/>
            </w:tcMar>
            <w:vAlign w:val="center"/>
            <w:hideMark/>
          </w:tcPr>
          <w:p w:rsidR="00652395" w:rsidRPr="00187EA0" w:rsidRDefault="00652395" w:rsidP="00D02D49">
            <w:pPr>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Services mandataires à la protection judiciaire des majeurs : 5 ans à compter de la fin de la mesure (</w:t>
            </w:r>
            <w:hyperlink r:id="rId8" w:tgtFrame="_blank" w:tooltip="Article 515 du code civil - Légifrance - Nouvelle fenêtre" w:history="1">
              <w:r w:rsidRPr="00187EA0">
                <w:rPr>
                  <w:rFonts w:asciiTheme="majorHAnsi" w:eastAsia="Times New Roman" w:hAnsiTheme="majorHAnsi" w:cstheme="majorHAnsi"/>
                  <w:sz w:val="24"/>
                  <w:szCs w:val="24"/>
                  <w:u w:val="single"/>
                  <w:lang w:eastAsia="fr-FR"/>
                </w:rPr>
                <w:t>art. 515 du Code civil</w:t>
              </w:r>
            </w:hyperlink>
            <w:r w:rsidRPr="00187EA0">
              <w:rPr>
                <w:rFonts w:asciiTheme="majorHAnsi" w:eastAsia="Times New Roman" w:hAnsiTheme="majorHAnsi" w:cstheme="majorHAnsi"/>
                <w:sz w:val="24"/>
                <w:szCs w:val="24"/>
                <w:lang w:eastAsia="fr-FR"/>
              </w:rPr>
              <w:t>)</w:t>
            </w:r>
          </w:p>
        </w:tc>
      </w:tr>
      <w:tr w:rsidR="00187EA0" w:rsidRPr="00187EA0" w:rsidTr="00652395">
        <w:tc>
          <w:tcPr>
            <w:tcW w:w="5000" w:type="pct"/>
            <w:gridSpan w:val="3"/>
            <w:tcBorders>
              <w:top w:val="single" w:sz="6" w:space="0" w:color="000000"/>
              <w:left w:val="single" w:sz="6" w:space="0" w:color="000000"/>
              <w:bottom w:val="single" w:sz="6" w:space="0" w:color="000000"/>
              <w:right w:val="single" w:sz="6" w:space="0" w:color="000000"/>
            </w:tcBorders>
            <w:shd w:val="clear" w:color="auto" w:fill="F1F0EA"/>
            <w:tcMar>
              <w:top w:w="150" w:type="dxa"/>
              <w:left w:w="105" w:type="dxa"/>
              <w:bottom w:w="150" w:type="dxa"/>
              <w:right w:w="105" w:type="dxa"/>
            </w:tcMar>
            <w:vAlign w:val="center"/>
            <w:hideMark/>
          </w:tcPr>
          <w:p w:rsidR="00652395" w:rsidRPr="00187EA0" w:rsidRDefault="00652395" w:rsidP="00D02D49">
            <w:pPr>
              <w:spacing w:after="0"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b/>
                <w:bCs/>
                <w:sz w:val="24"/>
                <w:szCs w:val="24"/>
                <w:lang w:eastAsia="fr-FR"/>
              </w:rPr>
              <w:t>&gt; Suppression/anonymisation ou archivage définitif</w:t>
            </w:r>
          </w:p>
        </w:tc>
      </w:tr>
      <w:tr w:rsidR="00187EA0" w:rsidRPr="00187EA0" w:rsidTr="00652395">
        <w:tc>
          <w:tcPr>
            <w:tcW w:w="1667" w:type="pct"/>
            <w:tcBorders>
              <w:top w:val="single" w:sz="6" w:space="0" w:color="000000"/>
              <w:left w:val="single" w:sz="6" w:space="0" w:color="000000"/>
              <w:bottom w:val="single" w:sz="6" w:space="0" w:color="000000"/>
              <w:right w:val="single" w:sz="6" w:space="0" w:color="000000"/>
            </w:tcBorders>
            <w:shd w:val="clear" w:color="auto" w:fill="auto"/>
            <w:tcMar>
              <w:top w:w="150" w:type="dxa"/>
              <w:left w:w="105" w:type="dxa"/>
              <w:bottom w:w="150" w:type="dxa"/>
              <w:right w:w="105" w:type="dxa"/>
            </w:tcMar>
            <w:vAlign w:val="center"/>
            <w:hideMark/>
          </w:tcPr>
          <w:p w:rsidR="00652395" w:rsidRPr="00187EA0" w:rsidRDefault="00652395" w:rsidP="00D02D49">
            <w:pPr>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b/>
                <w:bCs/>
                <w:sz w:val="24"/>
                <w:szCs w:val="24"/>
                <w:lang w:eastAsia="fr-FR"/>
              </w:rPr>
              <w:t>Archivage définitif</w:t>
            </w:r>
          </w:p>
          <w:p w:rsidR="00652395" w:rsidRPr="00187EA0" w:rsidRDefault="00652395" w:rsidP="00D02D49">
            <w:pPr>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w:t>
            </w:r>
            <w:proofErr w:type="gramStart"/>
            <w:r w:rsidRPr="00187EA0">
              <w:rPr>
                <w:rFonts w:asciiTheme="majorHAnsi" w:eastAsia="Times New Roman" w:hAnsiTheme="majorHAnsi" w:cstheme="majorHAnsi"/>
                <w:sz w:val="24"/>
                <w:szCs w:val="24"/>
                <w:lang w:eastAsia="fr-FR"/>
              </w:rPr>
              <w:t>le</w:t>
            </w:r>
            <w:proofErr w:type="gramEnd"/>
            <w:r w:rsidRPr="00187EA0">
              <w:rPr>
                <w:rFonts w:asciiTheme="majorHAnsi" w:eastAsia="Times New Roman" w:hAnsiTheme="majorHAnsi" w:cstheme="majorHAnsi"/>
                <w:sz w:val="24"/>
                <w:szCs w:val="24"/>
                <w:lang w:eastAsia="fr-FR"/>
              </w:rPr>
              <w:t xml:space="preserve"> dossier est archivé de manière pérenne)</w:t>
            </w:r>
          </w:p>
        </w:tc>
        <w:tc>
          <w:tcPr>
            <w:tcW w:w="1667" w:type="pct"/>
            <w:tcBorders>
              <w:top w:val="single" w:sz="6" w:space="0" w:color="000000"/>
              <w:left w:val="single" w:sz="6" w:space="0" w:color="000000"/>
              <w:bottom w:val="single" w:sz="6" w:space="0" w:color="000000"/>
              <w:right w:val="single" w:sz="6" w:space="0" w:color="000000"/>
            </w:tcBorders>
            <w:shd w:val="clear" w:color="auto" w:fill="auto"/>
            <w:tcMar>
              <w:top w:w="150" w:type="dxa"/>
              <w:left w:w="105" w:type="dxa"/>
              <w:bottom w:w="150" w:type="dxa"/>
              <w:right w:w="105" w:type="dxa"/>
            </w:tcMar>
            <w:vAlign w:val="center"/>
            <w:hideMark/>
          </w:tcPr>
          <w:p w:rsidR="00652395" w:rsidRPr="00187EA0" w:rsidRDefault="00652395" w:rsidP="00D02D49">
            <w:pPr>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Cette étape concerne les structures soumises à la règlementation sur les archives publiques (</w:t>
            </w:r>
            <w:hyperlink r:id="rId9" w:anchor="LEGISCTA000006129161" w:tgtFrame="_blank" w:tooltip="Article L211-1 du code du patrimoine - Légifrance - Nouvelle fenêtre" w:history="1">
              <w:r w:rsidRPr="00187EA0">
                <w:rPr>
                  <w:rFonts w:asciiTheme="majorHAnsi" w:eastAsia="Times New Roman" w:hAnsiTheme="majorHAnsi" w:cstheme="majorHAnsi"/>
                  <w:sz w:val="24"/>
                  <w:szCs w:val="24"/>
                  <w:u w:val="single"/>
                  <w:lang w:eastAsia="fr-FR"/>
                </w:rPr>
                <w:t>art. L. 211-1 et suivants du code du patrimoine</w:t>
              </w:r>
            </w:hyperlink>
            <w:r w:rsidRPr="00187EA0">
              <w:rPr>
                <w:rFonts w:asciiTheme="majorHAnsi" w:eastAsia="Times New Roman" w:hAnsiTheme="majorHAnsi" w:cstheme="majorHAnsi"/>
                <w:sz w:val="24"/>
                <w:szCs w:val="24"/>
                <w:lang w:eastAsia="fr-FR"/>
              </w:rPr>
              <w:t>).</w:t>
            </w:r>
          </w:p>
          <w:p w:rsidR="00652395" w:rsidRPr="00187EA0" w:rsidRDefault="00652395" w:rsidP="00D02D49">
            <w:pPr>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 xml:space="preserve">Il peut y avoir un « archivage historique » s’agissant de dossiers qui sont conservés de manière définitive en </w:t>
            </w:r>
            <w:r w:rsidRPr="00187EA0">
              <w:rPr>
                <w:rFonts w:asciiTheme="majorHAnsi" w:eastAsia="Times New Roman" w:hAnsiTheme="majorHAnsi" w:cstheme="majorHAnsi"/>
                <w:sz w:val="24"/>
                <w:szCs w:val="24"/>
                <w:lang w:eastAsia="fr-FR"/>
              </w:rPr>
              <w:lastRenderedPageBreak/>
              <w:t>raison de leur valeur patrimoniale, de leur intérêt en tant que témoignage de l'activité de l'établissement ou de l’histoire de la structure.</w:t>
            </w:r>
          </w:p>
          <w:p w:rsidR="00652395" w:rsidRPr="00187EA0" w:rsidRDefault="00652395" w:rsidP="00D02D49">
            <w:pPr>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Les </w:t>
            </w:r>
            <w:hyperlink r:id="rId10" w:tgtFrame="_blank" w:tooltip="Gérer les archives - francearchives.gouv.fr - Nouvelle fenêtre" w:history="1">
              <w:r w:rsidRPr="00187EA0">
                <w:rPr>
                  <w:rFonts w:asciiTheme="majorHAnsi" w:eastAsia="Times New Roman" w:hAnsiTheme="majorHAnsi" w:cstheme="majorHAnsi"/>
                  <w:sz w:val="24"/>
                  <w:szCs w:val="24"/>
                  <w:u w:val="single"/>
                  <w:lang w:eastAsia="fr-FR"/>
                </w:rPr>
                <w:t>modalités de cet archivage définitif</w:t>
              </w:r>
            </w:hyperlink>
            <w:r w:rsidRPr="00187EA0">
              <w:rPr>
                <w:rFonts w:asciiTheme="majorHAnsi" w:eastAsia="Times New Roman" w:hAnsiTheme="majorHAnsi" w:cstheme="majorHAnsi"/>
                <w:sz w:val="24"/>
                <w:szCs w:val="24"/>
                <w:lang w:eastAsia="fr-FR"/>
              </w:rPr>
              <w:t> sont à fixer avec le service des archives départementales compétent.</w:t>
            </w:r>
          </w:p>
        </w:tc>
        <w:tc>
          <w:tcPr>
            <w:tcW w:w="1667" w:type="pct"/>
            <w:tcBorders>
              <w:top w:val="single" w:sz="6" w:space="0" w:color="000000"/>
              <w:left w:val="single" w:sz="6" w:space="0" w:color="000000"/>
              <w:bottom w:val="single" w:sz="6" w:space="0" w:color="000000"/>
              <w:right w:val="single" w:sz="6" w:space="0" w:color="000000"/>
            </w:tcBorders>
            <w:shd w:val="clear" w:color="auto" w:fill="auto"/>
            <w:tcMar>
              <w:top w:w="150" w:type="dxa"/>
              <w:left w:w="105" w:type="dxa"/>
              <w:bottom w:w="150" w:type="dxa"/>
              <w:right w:w="105" w:type="dxa"/>
            </w:tcMar>
            <w:vAlign w:val="center"/>
            <w:hideMark/>
          </w:tcPr>
          <w:p w:rsidR="00652395" w:rsidRPr="00187EA0" w:rsidRDefault="00187EA0" w:rsidP="00D02D49">
            <w:pPr>
              <w:spacing w:after="0" w:line="240" w:lineRule="auto"/>
              <w:jc w:val="both"/>
              <w:rPr>
                <w:rFonts w:asciiTheme="majorHAnsi" w:eastAsia="Times New Roman" w:hAnsiTheme="majorHAnsi" w:cstheme="majorHAnsi"/>
                <w:sz w:val="24"/>
                <w:szCs w:val="24"/>
                <w:lang w:eastAsia="fr-FR"/>
              </w:rPr>
            </w:pPr>
            <w:hyperlink r:id="rId11" w:tgtFrame="_blank" w:tooltip="Circulaire : Mise en œuvre de la stratégie nationale de prévention et de protection de l’enfance 2020-2022 (engagement n°3) : modification du sort final des dossiers d'assistance éducative n°134 TGI - francearchives.gouv.fr - Nouvelle fenêtre" w:history="1">
              <w:r w:rsidR="00652395" w:rsidRPr="00187EA0">
                <w:rPr>
                  <w:rFonts w:asciiTheme="majorHAnsi" w:eastAsia="Times New Roman" w:hAnsiTheme="majorHAnsi" w:cstheme="majorHAnsi"/>
                  <w:sz w:val="24"/>
                  <w:szCs w:val="24"/>
                  <w:u w:val="single"/>
                  <w:lang w:eastAsia="fr-FR"/>
                </w:rPr>
                <w:t xml:space="preserve">La circulaire </w:t>
              </w:r>
              <w:proofErr w:type="spellStart"/>
              <w:r w:rsidR="00652395" w:rsidRPr="00187EA0">
                <w:rPr>
                  <w:rFonts w:asciiTheme="majorHAnsi" w:eastAsia="Times New Roman" w:hAnsiTheme="majorHAnsi" w:cstheme="majorHAnsi"/>
                  <w:sz w:val="24"/>
                  <w:szCs w:val="24"/>
                  <w:u w:val="single"/>
                  <w:lang w:eastAsia="fr-FR"/>
                </w:rPr>
                <w:t>DGP</w:t>
              </w:r>
              <w:proofErr w:type="spellEnd"/>
              <w:r w:rsidR="00652395" w:rsidRPr="00187EA0">
                <w:rPr>
                  <w:rFonts w:asciiTheme="majorHAnsi" w:eastAsia="Times New Roman" w:hAnsiTheme="majorHAnsi" w:cstheme="majorHAnsi"/>
                  <w:sz w:val="24"/>
                  <w:szCs w:val="24"/>
                  <w:u w:val="single"/>
                  <w:lang w:eastAsia="fr-FR"/>
                </w:rPr>
                <w:t>/</w:t>
              </w:r>
              <w:proofErr w:type="spellStart"/>
              <w:r w:rsidR="00652395" w:rsidRPr="00187EA0">
                <w:rPr>
                  <w:rFonts w:asciiTheme="majorHAnsi" w:eastAsia="Times New Roman" w:hAnsiTheme="majorHAnsi" w:cstheme="majorHAnsi"/>
                  <w:sz w:val="24"/>
                  <w:szCs w:val="24"/>
                  <w:u w:val="single"/>
                  <w:lang w:eastAsia="fr-FR"/>
                </w:rPr>
                <w:t>SIAF</w:t>
              </w:r>
              <w:proofErr w:type="spellEnd"/>
              <w:r w:rsidR="00652395" w:rsidRPr="00187EA0">
                <w:rPr>
                  <w:rFonts w:asciiTheme="majorHAnsi" w:eastAsia="Times New Roman" w:hAnsiTheme="majorHAnsi" w:cstheme="majorHAnsi"/>
                  <w:sz w:val="24"/>
                  <w:szCs w:val="24"/>
                  <w:u w:val="single"/>
                  <w:lang w:eastAsia="fr-FR"/>
                </w:rPr>
                <w:t>/2020/004 du 18 janvier 2021 portant modification du sort final des dossiers d’assistance éducative classés au nom du mineur ou de la fratrie, typologie n° 134 TGI</w:t>
              </w:r>
            </w:hyperlink>
            <w:r w:rsidR="00652395" w:rsidRPr="00187EA0">
              <w:rPr>
                <w:rFonts w:asciiTheme="majorHAnsi" w:eastAsia="Times New Roman" w:hAnsiTheme="majorHAnsi" w:cstheme="majorHAnsi"/>
                <w:sz w:val="24"/>
                <w:szCs w:val="24"/>
                <w:lang w:eastAsia="fr-FR"/>
              </w:rPr>
              <w:t xml:space="preserve">, préconise la conservation définitive des dossiers d’assistance éducative en </w:t>
            </w:r>
            <w:r w:rsidR="00652395" w:rsidRPr="00187EA0">
              <w:rPr>
                <w:rFonts w:asciiTheme="majorHAnsi" w:eastAsia="Times New Roman" w:hAnsiTheme="majorHAnsi" w:cstheme="majorHAnsi"/>
                <w:sz w:val="24"/>
                <w:szCs w:val="24"/>
                <w:lang w:eastAsia="fr-FR"/>
              </w:rPr>
              <w:lastRenderedPageBreak/>
              <w:t>milieu ouvert et leur versement aux archives départementales territorialement compétentes.</w:t>
            </w:r>
          </w:p>
        </w:tc>
      </w:tr>
    </w:tbl>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sz w:val="27"/>
          <w:szCs w:val="27"/>
          <w:lang w:eastAsia="fr-FR"/>
        </w:rPr>
        <w:lastRenderedPageBreak/>
        <w:t> </w:t>
      </w:r>
    </w:p>
    <w:p w:rsidR="00652395" w:rsidRPr="00187EA0" w:rsidRDefault="00652395" w:rsidP="00D02D49">
      <w:pPr>
        <w:shd w:val="clear" w:color="auto" w:fill="BDD6EE" w:themeFill="accent5" w:themeFillTint="66"/>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b/>
          <w:bCs/>
          <w:sz w:val="27"/>
          <w:szCs w:val="27"/>
          <w:lang w:eastAsia="fr-FR"/>
        </w:rPr>
        <w:t>Focus sur la suppression / destruction et l’anonymisation</w:t>
      </w:r>
    </w:p>
    <w:p w:rsidR="00652395" w:rsidRPr="00187EA0" w:rsidRDefault="00652395" w:rsidP="00D02D49">
      <w:pPr>
        <w:shd w:val="clear" w:color="auto" w:fill="BDD6EE" w:themeFill="accent5" w:themeFillTint="66"/>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sz w:val="27"/>
          <w:szCs w:val="27"/>
          <w:lang w:eastAsia="fr-FR"/>
        </w:rPr>
        <w:t>À une fréquence régulière, votre structure doit recenser les dossiers et données (tant en base active qu’en archivage intermédiaire) arrivant au terme de la durée de conservation définie afin :</w:t>
      </w:r>
    </w:p>
    <w:p w:rsidR="00652395" w:rsidRPr="00187EA0" w:rsidRDefault="00652395" w:rsidP="00D02D49">
      <w:pPr>
        <w:shd w:val="clear" w:color="auto" w:fill="BDD6EE" w:themeFill="accent5" w:themeFillTint="66"/>
        <w:spacing w:after="0" w:line="240" w:lineRule="auto"/>
        <w:jc w:val="both"/>
        <w:rPr>
          <w:rFonts w:asciiTheme="majorHAnsi" w:eastAsia="Times New Roman" w:hAnsiTheme="majorHAnsi" w:cstheme="majorHAnsi"/>
          <w:sz w:val="27"/>
          <w:szCs w:val="27"/>
          <w:lang w:eastAsia="fr-FR"/>
        </w:rPr>
      </w:pPr>
      <w:proofErr w:type="gramStart"/>
      <w:r w:rsidRPr="00187EA0">
        <w:rPr>
          <w:rFonts w:asciiTheme="majorHAnsi" w:eastAsia="Times New Roman" w:hAnsiTheme="majorHAnsi" w:cstheme="majorHAnsi"/>
          <w:sz w:val="27"/>
          <w:szCs w:val="27"/>
          <w:lang w:eastAsia="fr-FR"/>
        </w:rPr>
        <w:t>soit</w:t>
      </w:r>
      <w:proofErr w:type="gramEnd"/>
      <w:r w:rsidRPr="00187EA0">
        <w:rPr>
          <w:rFonts w:asciiTheme="majorHAnsi" w:eastAsia="Times New Roman" w:hAnsiTheme="majorHAnsi" w:cstheme="majorHAnsi"/>
          <w:sz w:val="27"/>
          <w:szCs w:val="27"/>
          <w:lang w:eastAsia="fr-FR"/>
        </w:rPr>
        <w:t xml:space="preserve"> d’effacer les dossiers informatiques et / ou supprimer physiquement les dossiers « papier » ;</w:t>
      </w:r>
    </w:p>
    <w:p w:rsidR="00652395" w:rsidRPr="00187EA0" w:rsidRDefault="00652395" w:rsidP="00D02D49">
      <w:pPr>
        <w:shd w:val="clear" w:color="auto" w:fill="BDD6EE" w:themeFill="accent5" w:themeFillTint="66"/>
        <w:spacing w:after="0" w:line="240" w:lineRule="auto"/>
        <w:jc w:val="both"/>
        <w:rPr>
          <w:rFonts w:asciiTheme="majorHAnsi" w:eastAsia="Times New Roman" w:hAnsiTheme="majorHAnsi" w:cstheme="majorHAnsi"/>
          <w:sz w:val="27"/>
          <w:szCs w:val="27"/>
          <w:lang w:eastAsia="fr-FR"/>
        </w:rPr>
      </w:pPr>
      <w:proofErr w:type="gramStart"/>
      <w:r w:rsidRPr="00187EA0">
        <w:rPr>
          <w:rFonts w:asciiTheme="majorHAnsi" w:eastAsia="Times New Roman" w:hAnsiTheme="majorHAnsi" w:cstheme="majorHAnsi"/>
          <w:sz w:val="27"/>
          <w:szCs w:val="27"/>
          <w:lang w:eastAsia="fr-FR"/>
        </w:rPr>
        <w:t>soit</w:t>
      </w:r>
      <w:proofErr w:type="gramEnd"/>
      <w:r w:rsidRPr="00187EA0">
        <w:rPr>
          <w:rFonts w:asciiTheme="majorHAnsi" w:eastAsia="Times New Roman" w:hAnsiTheme="majorHAnsi" w:cstheme="majorHAnsi"/>
          <w:sz w:val="27"/>
          <w:szCs w:val="27"/>
          <w:lang w:eastAsia="fr-FR"/>
        </w:rPr>
        <w:t xml:space="preserve"> d’anonymiser les données (statistiques).</w:t>
      </w:r>
    </w:p>
    <w:p w:rsidR="00652395" w:rsidRPr="00187EA0" w:rsidRDefault="00652395" w:rsidP="00D02D49">
      <w:pPr>
        <w:shd w:val="clear" w:color="auto" w:fill="BDD6EE" w:themeFill="accent5" w:themeFillTint="66"/>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sz w:val="27"/>
          <w:szCs w:val="27"/>
          <w:lang w:eastAsia="fr-FR"/>
        </w:rPr>
        <w:t>Si cela est possible techniquement, il est recommandé de prévoir une purge automatique des données dans les systèmes d’information utilisés selon le principe du </w:t>
      </w:r>
      <w:proofErr w:type="spellStart"/>
      <w:r w:rsidRPr="00187EA0">
        <w:rPr>
          <w:rFonts w:asciiTheme="majorHAnsi" w:eastAsia="Times New Roman" w:hAnsiTheme="majorHAnsi" w:cstheme="majorHAnsi"/>
          <w:i/>
          <w:iCs/>
          <w:sz w:val="27"/>
          <w:szCs w:val="27"/>
          <w:lang w:eastAsia="fr-FR"/>
        </w:rPr>
        <w:t>privacy</w:t>
      </w:r>
      <w:proofErr w:type="spellEnd"/>
      <w:r w:rsidRPr="00187EA0">
        <w:rPr>
          <w:rFonts w:asciiTheme="majorHAnsi" w:eastAsia="Times New Roman" w:hAnsiTheme="majorHAnsi" w:cstheme="majorHAnsi"/>
          <w:i/>
          <w:iCs/>
          <w:sz w:val="27"/>
          <w:szCs w:val="27"/>
          <w:lang w:eastAsia="fr-FR"/>
        </w:rPr>
        <w:t xml:space="preserve"> by design.</w:t>
      </w:r>
    </w:p>
    <w:p w:rsidR="00652395" w:rsidRPr="00187EA0" w:rsidRDefault="00652395" w:rsidP="00D02D49">
      <w:pPr>
        <w:shd w:val="clear" w:color="auto" w:fill="BDD6EE" w:themeFill="accent5" w:themeFillTint="66"/>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b/>
          <w:bCs/>
          <w:sz w:val="27"/>
          <w:szCs w:val="27"/>
          <w:lang w:eastAsia="fr-FR"/>
        </w:rPr>
        <w:t>À noter</w:t>
      </w:r>
      <w:r w:rsidRPr="00187EA0">
        <w:rPr>
          <w:rFonts w:asciiTheme="majorHAnsi" w:eastAsia="Times New Roman" w:hAnsiTheme="majorHAnsi" w:cstheme="majorHAnsi"/>
          <w:sz w:val="27"/>
          <w:szCs w:val="27"/>
          <w:lang w:eastAsia="fr-FR"/>
        </w:rPr>
        <w:t> : pour les données soumises aux archives publiques, il est important de suivre le processus défini avec les archives départementales avant de supprimer les données sous peine de sanctions pénales (jusqu’à 3 ans d’emprisonnement et 45 000 euros d’amende (</w:t>
      </w:r>
      <w:hyperlink r:id="rId12" w:tgtFrame="_blank" w:tooltip="Article L214-3 du code du patrimoine - Légifrance - Nouvelle fenêtre" w:history="1">
        <w:r w:rsidRPr="00187EA0">
          <w:rPr>
            <w:rFonts w:asciiTheme="majorHAnsi" w:eastAsia="Times New Roman" w:hAnsiTheme="majorHAnsi" w:cstheme="majorHAnsi"/>
            <w:sz w:val="27"/>
            <w:szCs w:val="27"/>
            <w:u w:val="single"/>
            <w:lang w:eastAsia="fr-FR"/>
          </w:rPr>
          <w:t>article L.214-3 du code du patrimoine</w:t>
        </w:r>
      </w:hyperlink>
      <w:r w:rsidRPr="00187EA0">
        <w:rPr>
          <w:rFonts w:asciiTheme="majorHAnsi" w:eastAsia="Times New Roman" w:hAnsiTheme="majorHAnsi" w:cstheme="majorHAnsi"/>
          <w:sz w:val="27"/>
          <w:szCs w:val="27"/>
          <w:lang w:eastAsia="fr-FR"/>
        </w:rPr>
        <w:t>).</w:t>
      </w:r>
    </w:p>
    <w:p w:rsidR="004A0D58" w:rsidRPr="00187EA0" w:rsidRDefault="004A0D58" w:rsidP="00D02D49">
      <w:pPr>
        <w:shd w:val="clear" w:color="auto" w:fill="FFFFFF"/>
        <w:spacing w:before="211" w:after="211" w:line="240" w:lineRule="auto"/>
        <w:jc w:val="both"/>
        <w:rPr>
          <w:rFonts w:asciiTheme="majorHAnsi" w:eastAsia="Times New Roman" w:hAnsiTheme="majorHAnsi" w:cstheme="majorHAnsi"/>
          <w:b/>
          <w:bCs/>
          <w:sz w:val="27"/>
          <w:szCs w:val="27"/>
          <w:lang w:eastAsia="fr-FR"/>
        </w:rPr>
      </w:pP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b/>
          <w:bCs/>
          <w:sz w:val="27"/>
          <w:szCs w:val="27"/>
          <w:lang w:eastAsia="fr-FR"/>
        </w:rPr>
        <w:t>En pratique</w:t>
      </w:r>
      <w:r w:rsidRPr="00187EA0">
        <w:rPr>
          <w:rFonts w:asciiTheme="majorHAnsi" w:eastAsia="Times New Roman" w:hAnsiTheme="majorHAnsi" w:cstheme="majorHAnsi"/>
          <w:sz w:val="27"/>
          <w:szCs w:val="27"/>
          <w:lang w:eastAsia="fr-FR"/>
        </w:rPr>
        <w:t>, cela signifie que votre structure doit :</w:t>
      </w:r>
    </w:p>
    <w:p w:rsidR="00652395" w:rsidRPr="00187EA0" w:rsidRDefault="00652395" w:rsidP="00D02D49">
      <w:pPr>
        <w:numPr>
          <w:ilvl w:val="0"/>
          <w:numId w:val="8"/>
        </w:numPr>
        <w:shd w:val="clear" w:color="auto" w:fill="FFFFFF"/>
        <w:spacing w:after="0" w:line="240" w:lineRule="auto"/>
        <w:ind w:left="0"/>
        <w:jc w:val="both"/>
        <w:rPr>
          <w:rFonts w:asciiTheme="majorHAnsi" w:eastAsia="Times New Roman" w:hAnsiTheme="majorHAnsi" w:cstheme="majorHAnsi"/>
          <w:sz w:val="27"/>
          <w:szCs w:val="27"/>
          <w:lang w:eastAsia="fr-FR"/>
        </w:rPr>
      </w:pPr>
      <w:proofErr w:type="gramStart"/>
      <w:r w:rsidRPr="00187EA0">
        <w:rPr>
          <w:rFonts w:asciiTheme="majorHAnsi" w:eastAsia="Times New Roman" w:hAnsiTheme="majorHAnsi" w:cstheme="majorHAnsi"/>
          <w:sz w:val="27"/>
          <w:szCs w:val="27"/>
          <w:lang w:eastAsia="fr-FR"/>
        </w:rPr>
        <w:t>effacer</w:t>
      </w:r>
      <w:proofErr w:type="gramEnd"/>
      <w:r w:rsidRPr="00187EA0">
        <w:rPr>
          <w:rFonts w:asciiTheme="majorHAnsi" w:eastAsia="Times New Roman" w:hAnsiTheme="majorHAnsi" w:cstheme="majorHAnsi"/>
          <w:sz w:val="27"/>
          <w:szCs w:val="27"/>
          <w:lang w:eastAsia="fr-FR"/>
        </w:rPr>
        <w:t xml:space="preserve"> le dossier ou l’anonymiser dans la base de données ;</w:t>
      </w:r>
    </w:p>
    <w:p w:rsidR="00652395" w:rsidRPr="00187EA0" w:rsidRDefault="00652395" w:rsidP="00D02D49">
      <w:pPr>
        <w:numPr>
          <w:ilvl w:val="0"/>
          <w:numId w:val="8"/>
        </w:numPr>
        <w:shd w:val="clear" w:color="auto" w:fill="FFFFFF"/>
        <w:spacing w:after="0" w:line="240" w:lineRule="auto"/>
        <w:ind w:left="0"/>
        <w:jc w:val="both"/>
        <w:rPr>
          <w:rFonts w:asciiTheme="majorHAnsi" w:eastAsia="Times New Roman" w:hAnsiTheme="majorHAnsi" w:cstheme="majorHAnsi"/>
          <w:sz w:val="27"/>
          <w:szCs w:val="27"/>
          <w:lang w:eastAsia="fr-FR"/>
        </w:rPr>
      </w:pPr>
      <w:proofErr w:type="gramStart"/>
      <w:r w:rsidRPr="00187EA0">
        <w:rPr>
          <w:rFonts w:asciiTheme="majorHAnsi" w:eastAsia="Times New Roman" w:hAnsiTheme="majorHAnsi" w:cstheme="majorHAnsi"/>
          <w:sz w:val="27"/>
          <w:szCs w:val="27"/>
          <w:lang w:eastAsia="fr-FR"/>
        </w:rPr>
        <w:t>détruire</w:t>
      </w:r>
      <w:proofErr w:type="gramEnd"/>
      <w:r w:rsidRPr="00187EA0">
        <w:rPr>
          <w:rFonts w:asciiTheme="majorHAnsi" w:eastAsia="Times New Roman" w:hAnsiTheme="majorHAnsi" w:cstheme="majorHAnsi"/>
          <w:sz w:val="27"/>
          <w:szCs w:val="27"/>
          <w:lang w:eastAsia="fr-FR"/>
        </w:rPr>
        <w:t xml:space="preserve"> les dossiers papier avec un destructeur de documents garantissant un niveau de sécurité adéquat.</w:t>
      </w:r>
    </w:p>
    <w:p w:rsidR="00652395" w:rsidRPr="00187EA0" w:rsidRDefault="00187EA0"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hyperlink r:id="rId13" w:tgtFrame="_blank" w:tooltip="L’anonymisation de données personnelles - Nouvelle fenêtre" w:history="1">
        <w:r w:rsidR="00652395" w:rsidRPr="00187EA0">
          <w:rPr>
            <w:rFonts w:asciiTheme="majorHAnsi" w:eastAsia="Times New Roman" w:hAnsiTheme="majorHAnsi" w:cstheme="majorHAnsi"/>
            <w:sz w:val="27"/>
            <w:szCs w:val="27"/>
            <w:u w:val="single"/>
            <w:lang w:eastAsia="fr-FR"/>
          </w:rPr>
          <w:t>L’anonymisation d’un fichier</w:t>
        </w:r>
      </w:hyperlink>
      <w:r w:rsidR="00652395" w:rsidRPr="00187EA0">
        <w:rPr>
          <w:rFonts w:asciiTheme="majorHAnsi" w:eastAsia="Times New Roman" w:hAnsiTheme="majorHAnsi" w:cstheme="majorHAnsi"/>
          <w:sz w:val="27"/>
          <w:szCs w:val="27"/>
          <w:lang w:eastAsia="fr-FR"/>
        </w:rPr>
        <w:t> comportant des données consiste à supprimer toutes les catégories de données personnelles pour pouvoir en faire des statistiques. Vous devez veiller à supprimer :</w:t>
      </w:r>
    </w:p>
    <w:p w:rsidR="00652395" w:rsidRPr="00187EA0" w:rsidRDefault="00652395" w:rsidP="00D02D49">
      <w:pPr>
        <w:numPr>
          <w:ilvl w:val="0"/>
          <w:numId w:val="9"/>
        </w:numPr>
        <w:shd w:val="clear" w:color="auto" w:fill="FFFFFF"/>
        <w:spacing w:after="0" w:line="240" w:lineRule="auto"/>
        <w:ind w:left="0"/>
        <w:jc w:val="both"/>
        <w:rPr>
          <w:rFonts w:asciiTheme="majorHAnsi" w:eastAsia="Times New Roman" w:hAnsiTheme="majorHAnsi" w:cstheme="majorHAnsi"/>
          <w:sz w:val="27"/>
          <w:szCs w:val="27"/>
          <w:lang w:eastAsia="fr-FR"/>
        </w:rPr>
      </w:pPr>
      <w:proofErr w:type="gramStart"/>
      <w:r w:rsidRPr="00187EA0">
        <w:rPr>
          <w:rFonts w:asciiTheme="majorHAnsi" w:eastAsia="Times New Roman" w:hAnsiTheme="majorHAnsi" w:cstheme="majorHAnsi"/>
          <w:sz w:val="27"/>
          <w:szCs w:val="27"/>
          <w:lang w:eastAsia="fr-FR"/>
        </w:rPr>
        <w:t>les</w:t>
      </w:r>
      <w:proofErr w:type="gramEnd"/>
      <w:r w:rsidRPr="00187EA0">
        <w:rPr>
          <w:rFonts w:asciiTheme="majorHAnsi" w:eastAsia="Times New Roman" w:hAnsiTheme="majorHAnsi" w:cstheme="majorHAnsi"/>
          <w:sz w:val="27"/>
          <w:szCs w:val="27"/>
          <w:lang w:eastAsia="fr-FR"/>
        </w:rPr>
        <w:t xml:space="preserve"> données directement identifiantes ;</w:t>
      </w:r>
    </w:p>
    <w:p w:rsidR="00652395" w:rsidRPr="00187EA0" w:rsidRDefault="00652395" w:rsidP="00D02D49">
      <w:pPr>
        <w:numPr>
          <w:ilvl w:val="0"/>
          <w:numId w:val="9"/>
        </w:numPr>
        <w:shd w:val="clear" w:color="auto" w:fill="FFFFFF"/>
        <w:spacing w:after="0" w:line="240" w:lineRule="auto"/>
        <w:ind w:left="0"/>
        <w:jc w:val="both"/>
        <w:rPr>
          <w:rFonts w:asciiTheme="majorHAnsi" w:eastAsia="Times New Roman" w:hAnsiTheme="majorHAnsi" w:cstheme="majorHAnsi"/>
          <w:sz w:val="27"/>
          <w:szCs w:val="27"/>
          <w:lang w:eastAsia="fr-FR"/>
        </w:rPr>
      </w:pPr>
      <w:proofErr w:type="gramStart"/>
      <w:r w:rsidRPr="00187EA0">
        <w:rPr>
          <w:rFonts w:asciiTheme="majorHAnsi" w:eastAsia="Times New Roman" w:hAnsiTheme="majorHAnsi" w:cstheme="majorHAnsi"/>
          <w:sz w:val="27"/>
          <w:szCs w:val="27"/>
          <w:lang w:eastAsia="fr-FR"/>
        </w:rPr>
        <w:t>les</w:t>
      </w:r>
      <w:proofErr w:type="gramEnd"/>
      <w:r w:rsidRPr="00187EA0">
        <w:rPr>
          <w:rFonts w:asciiTheme="majorHAnsi" w:eastAsia="Times New Roman" w:hAnsiTheme="majorHAnsi" w:cstheme="majorHAnsi"/>
          <w:sz w:val="27"/>
          <w:szCs w:val="27"/>
          <w:lang w:eastAsia="fr-FR"/>
        </w:rPr>
        <w:t xml:space="preserve"> informations susceptibles de réidentifier indirectement les personnes (p. ex. : une pathologie particulière, l’âge).</w:t>
      </w: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b/>
          <w:bCs/>
          <w:sz w:val="27"/>
          <w:szCs w:val="27"/>
          <w:lang w:eastAsia="fr-FR"/>
        </w:rPr>
        <w:t>Attention, l’anonymisation est valable s’il est impossible de réidentifier la personne par quelque moyen que ce soit et de manière irréversible.</w:t>
      </w: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b/>
          <w:bCs/>
          <w:sz w:val="27"/>
          <w:szCs w:val="27"/>
          <w:lang w:eastAsia="fr-FR"/>
        </w:rPr>
        <w:t>Exemple du cycle de vie d’un dossier d’une personne ou d’une famille accompagnée au sein d’un établissement social ou médico-social :</w:t>
      </w:r>
    </w:p>
    <w:p w:rsidR="00652395" w:rsidRPr="00187EA0" w:rsidRDefault="00652395" w:rsidP="00D02D49">
      <w:pPr>
        <w:shd w:val="clear" w:color="auto" w:fill="FFFFFF"/>
        <w:spacing w:after="0"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7"/>
          <w:szCs w:val="27"/>
          <w:lang w:eastAsia="fr-FR"/>
        </w:rPr>
        <w:fldChar w:fldCharType="begin"/>
      </w:r>
      <w:r w:rsidRPr="00187EA0">
        <w:rPr>
          <w:rFonts w:asciiTheme="majorHAnsi" w:eastAsia="Times New Roman" w:hAnsiTheme="majorHAnsi" w:cstheme="majorHAnsi"/>
          <w:sz w:val="27"/>
          <w:szCs w:val="27"/>
          <w:lang w:eastAsia="fr-FR"/>
        </w:rPr>
        <w:instrText xml:space="preserve"> HYPERLINK "https://www.cnil.fr/sites/cnil/files/2023-11/schema_durees_de_conservation_archivages.pdf" \o "Schema - Durées de conservation - Archivages (PDF, 116 ko) - Nouvelle fenêtre" \t "_blank" </w:instrText>
      </w:r>
      <w:r w:rsidRPr="00187EA0">
        <w:rPr>
          <w:rFonts w:asciiTheme="majorHAnsi" w:eastAsia="Times New Roman" w:hAnsiTheme="majorHAnsi" w:cstheme="majorHAnsi"/>
          <w:sz w:val="27"/>
          <w:szCs w:val="27"/>
          <w:lang w:eastAsia="fr-FR"/>
        </w:rPr>
        <w:fldChar w:fldCharType="separate"/>
      </w:r>
    </w:p>
    <w:p w:rsidR="00652395" w:rsidRPr="00187EA0" w:rsidRDefault="00652395" w:rsidP="00187EA0">
      <w:pPr>
        <w:shd w:val="clear" w:color="auto" w:fill="FFFFFF"/>
        <w:spacing w:after="0" w:line="240" w:lineRule="auto"/>
        <w:jc w:val="center"/>
        <w:rPr>
          <w:rFonts w:asciiTheme="majorHAnsi" w:eastAsia="Times New Roman" w:hAnsiTheme="majorHAnsi" w:cstheme="majorHAnsi"/>
          <w:sz w:val="24"/>
          <w:szCs w:val="24"/>
          <w:lang w:eastAsia="fr-FR"/>
        </w:rPr>
      </w:pPr>
    </w:p>
    <w:p w:rsidR="00652395" w:rsidRPr="00187EA0" w:rsidRDefault="00652395" w:rsidP="00D02D49">
      <w:pPr>
        <w:shd w:val="clear" w:color="auto" w:fill="FFFFFF"/>
        <w:spacing w:after="0" w:line="240" w:lineRule="auto"/>
        <w:jc w:val="both"/>
        <w:rPr>
          <w:rFonts w:asciiTheme="majorHAnsi" w:eastAsia="Times New Roman" w:hAnsiTheme="majorHAnsi" w:cstheme="majorHAnsi"/>
          <w:b/>
          <w:bCs/>
          <w:sz w:val="36"/>
          <w:szCs w:val="36"/>
          <w:lang w:eastAsia="fr-FR"/>
        </w:rPr>
      </w:pPr>
      <w:r w:rsidRPr="00187EA0">
        <w:rPr>
          <w:rFonts w:asciiTheme="majorHAnsi" w:eastAsia="Times New Roman" w:hAnsiTheme="majorHAnsi" w:cstheme="majorHAnsi"/>
          <w:sz w:val="27"/>
          <w:szCs w:val="27"/>
          <w:lang w:eastAsia="fr-FR"/>
        </w:rPr>
        <w:fldChar w:fldCharType="end"/>
      </w:r>
      <w:r w:rsidRPr="00187EA0">
        <w:rPr>
          <w:rFonts w:asciiTheme="majorHAnsi" w:eastAsia="Times New Roman" w:hAnsiTheme="majorHAnsi" w:cstheme="majorHAnsi"/>
          <w:b/>
          <w:bCs/>
          <w:sz w:val="36"/>
          <w:szCs w:val="36"/>
          <w:lang w:eastAsia="fr-FR"/>
        </w:rPr>
        <w:t>Étape n° 3 : déterminer la réglementation applicable à votre structure</w:t>
      </w:r>
    </w:p>
    <w:p w:rsidR="004A0D58" w:rsidRPr="00187EA0" w:rsidRDefault="004A0D58"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sz w:val="27"/>
          <w:szCs w:val="27"/>
          <w:lang w:eastAsia="fr-FR"/>
        </w:rPr>
        <w:t xml:space="preserve">Votre structure est soumise au </w:t>
      </w:r>
      <w:proofErr w:type="spellStart"/>
      <w:r w:rsidRPr="00187EA0">
        <w:rPr>
          <w:rFonts w:asciiTheme="majorHAnsi" w:eastAsia="Times New Roman" w:hAnsiTheme="majorHAnsi" w:cstheme="majorHAnsi"/>
          <w:sz w:val="27"/>
          <w:szCs w:val="27"/>
          <w:lang w:eastAsia="fr-FR"/>
        </w:rPr>
        <w:t>RGPD</w:t>
      </w:r>
      <w:proofErr w:type="spellEnd"/>
      <w:r w:rsidRPr="00187EA0">
        <w:rPr>
          <w:rFonts w:asciiTheme="majorHAnsi" w:eastAsia="Times New Roman" w:hAnsiTheme="majorHAnsi" w:cstheme="majorHAnsi"/>
          <w:sz w:val="27"/>
          <w:szCs w:val="27"/>
          <w:lang w:eastAsia="fr-FR"/>
        </w:rPr>
        <w:t xml:space="preserve"> dès lors qu’elle traite des données personnelles mais d’autres règlementations peuvent également s’appliquer.</w:t>
      </w:r>
    </w:p>
    <w:p w:rsidR="00652395" w:rsidRPr="00187EA0" w:rsidRDefault="00652395" w:rsidP="00D02D49">
      <w:pPr>
        <w:shd w:val="clear" w:color="auto" w:fill="FFFFFF"/>
        <w:spacing w:before="211" w:after="211" w:line="240" w:lineRule="auto"/>
        <w:jc w:val="both"/>
        <w:outlineLvl w:val="2"/>
        <w:rPr>
          <w:rFonts w:asciiTheme="majorHAnsi" w:eastAsia="Times New Roman" w:hAnsiTheme="majorHAnsi" w:cstheme="majorHAnsi"/>
          <w:sz w:val="32"/>
          <w:szCs w:val="32"/>
          <w:lang w:eastAsia="fr-FR"/>
        </w:rPr>
      </w:pPr>
      <w:r w:rsidRPr="00187EA0">
        <w:rPr>
          <w:rFonts w:asciiTheme="majorHAnsi" w:eastAsia="Times New Roman" w:hAnsiTheme="majorHAnsi" w:cstheme="majorHAnsi"/>
          <w:sz w:val="32"/>
          <w:szCs w:val="32"/>
          <w:lang w:eastAsia="fr-FR"/>
        </w:rPr>
        <w:t>Lister les traitements ou fichiers concernés</w:t>
      </w:r>
    </w:p>
    <w:p w:rsidR="004A0D58" w:rsidRPr="00187EA0" w:rsidRDefault="004A0D58"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sz w:val="27"/>
          <w:szCs w:val="27"/>
          <w:lang w:eastAsia="fr-FR"/>
        </w:rPr>
        <w:t>Pour cela, votre organisme peut utiliser son registre des traitements ou mener un audit spécifique. L’objectif est d’identifier, pour chaque traitement ou fichier, ses finalités et ses caractéristiques essentielles (catégories de données collectées, etc.).</w:t>
      </w: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b/>
          <w:bCs/>
          <w:sz w:val="27"/>
          <w:szCs w:val="27"/>
          <w:lang w:eastAsia="fr-FR"/>
        </w:rPr>
        <w:t>À noter </w:t>
      </w:r>
      <w:r w:rsidRPr="00187EA0">
        <w:rPr>
          <w:rFonts w:asciiTheme="majorHAnsi" w:eastAsia="Times New Roman" w:hAnsiTheme="majorHAnsi" w:cstheme="majorHAnsi"/>
          <w:sz w:val="27"/>
          <w:szCs w:val="27"/>
          <w:lang w:eastAsia="fr-FR"/>
        </w:rPr>
        <w:t>: une même donnée (p. ex : adresse postale de l’usager) peut être utilisée dans différents traitements ou fichiers, et peut donc avoir des durées de conservation différentes.</w:t>
      </w:r>
    </w:p>
    <w:p w:rsidR="004A0D58" w:rsidRPr="00187EA0" w:rsidRDefault="004A0D58"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p>
    <w:p w:rsidR="00652395" w:rsidRPr="00187EA0" w:rsidRDefault="00652395" w:rsidP="00D02D49">
      <w:pPr>
        <w:shd w:val="clear" w:color="auto" w:fill="FFFFFF"/>
        <w:spacing w:before="211" w:after="211" w:line="240" w:lineRule="auto"/>
        <w:jc w:val="both"/>
        <w:outlineLvl w:val="2"/>
        <w:rPr>
          <w:rFonts w:asciiTheme="majorHAnsi" w:eastAsia="Times New Roman" w:hAnsiTheme="majorHAnsi" w:cstheme="majorHAnsi"/>
          <w:sz w:val="32"/>
          <w:szCs w:val="32"/>
          <w:lang w:eastAsia="fr-FR"/>
        </w:rPr>
      </w:pPr>
      <w:r w:rsidRPr="00187EA0">
        <w:rPr>
          <w:rFonts w:asciiTheme="majorHAnsi" w:eastAsia="Times New Roman" w:hAnsiTheme="majorHAnsi" w:cstheme="majorHAnsi"/>
          <w:sz w:val="32"/>
          <w:szCs w:val="32"/>
          <w:lang w:eastAsia="fr-FR"/>
        </w:rPr>
        <w:t>Identifier si la réglementation en matière d’archives publiques (code du patrimoine) est applicable</w:t>
      </w:r>
    </w:p>
    <w:p w:rsidR="004A0D58" w:rsidRPr="00187EA0" w:rsidRDefault="004A0D58" w:rsidP="00D02D49">
      <w:pPr>
        <w:shd w:val="clear" w:color="auto" w:fill="FFFFFF"/>
        <w:spacing w:before="211" w:after="211" w:line="240" w:lineRule="auto"/>
        <w:jc w:val="both"/>
        <w:rPr>
          <w:rFonts w:asciiTheme="majorHAnsi" w:eastAsia="Times New Roman" w:hAnsiTheme="majorHAnsi" w:cstheme="majorHAnsi"/>
          <w:b/>
          <w:bCs/>
          <w:sz w:val="27"/>
          <w:szCs w:val="27"/>
          <w:lang w:eastAsia="fr-FR"/>
        </w:rPr>
      </w:pP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b/>
          <w:bCs/>
          <w:sz w:val="27"/>
          <w:szCs w:val="27"/>
          <w:lang w:eastAsia="fr-FR"/>
        </w:rPr>
        <w:t>Si votre structure (publique ou privée) est chargée d’une mission de service public, les règles spécifiques du code du patrimoine pour les « archives publiques » sont applicables.</w:t>
      </w:r>
      <w:r w:rsidRPr="00187EA0">
        <w:rPr>
          <w:rFonts w:asciiTheme="majorHAnsi" w:eastAsia="Times New Roman" w:hAnsiTheme="majorHAnsi" w:cstheme="majorHAnsi"/>
          <w:sz w:val="27"/>
          <w:szCs w:val="27"/>
          <w:lang w:eastAsia="fr-FR"/>
        </w:rPr>
        <w:t xml:space="preserve"> Ces règles se cumulent avec celles prévues par le </w:t>
      </w:r>
      <w:proofErr w:type="spellStart"/>
      <w:r w:rsidRPr="00187EA0">
        <w:rPr>
          <w:rFonts w:asciiTheme="majorHAnsi" w:eastAsia="Times New Roman" w:hAnsiTheme="majorHAnsi" w:cstheme="majorHAnsi"/>
          <w:sz w:val="27"/>
          <w:szCs w:val="27"/>
          <w:lang w:eastAsia="fr-FR"/>
        </w:rPr>
        <w:t>RGPD</w:t>
      </w:r>
      <w:proofErr w:type="spellEnd"/>
      <w:r w:rsidRPr="00187EA0">
        <w:rPr>
          <w:rFonts w:asciiTheme="majorHAnsi" w:eastAsia="Times New Roman" w:hAnsiTheme="majorHAnsi" w:cstheme="majorHAnsi"/>
          <w:sz w:val="27"/>
          <w:szCs w:val="27"/>
          <w:lang w:eastAsia="fr-FR"/>
        </w:rPr>
        <w:t>.</w:t>
      </w: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sz w:val="27"/>
          <w:szCs w:val="27"/>
          <w:lang w:eastAsia="fr-FR"/>
        </w:rPr>
        <w:lastRenderedPageBreak/>
        <w:t>Une structure chargée d’une mission de service public peut être concernée par différentes catégories d’archives :</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28"/>
        <w:gridCol w:w="4528"/>
      </w:tblGrid>
      <w:tr w:rsidR="00187EA0" w:rsidRPr="00187EA0" w:rsidTr="00652395">
        <w:trPr>
          <w:tblHeader/>
        </w:trPr>
        <w:tc>
          <w:tcPr>
            <w:tcW w:w="2500" w:type="pct"/>
            <w:tcBorders>
              <w:top w:val="outset" w:sz="6" w:space="0" w:color="auto"/>
              <w:left w:val="single" w:sz="6" w:space="0" w:color="3879BF"/>
              <w:bottom w:val="single" w:sz="6" w:space="0" w:color="3879BF"/>
              <w:right w:val="outset" w:sz="6" w:space="0" w:color="auto"/>
            </w:tcBorders>
            <w:shd w:val="clear" w:color="auto" w:fill="3879BF"/>
            <w:tcMar>
              <w:top w:w="150" w:type="dxa"/>
              <w:left w:w="105" w:type="dxa"/>
              <w:bottom w:w="150" w:type="dxa"/>
              <w:right w:w="105" w:type="dxa"/>
            </w:tcMar>
            <w:vAlign w:val="center"/>
            <w:hideMark/>
          </w:tcPr>
          <w:p w:rsidR="00652395" w:rsidRPr="00187EA0" w:rsidRDefault="00652395" w:rsidP="00D02D49">
            <w:pPr>
              <w:spacing w:after="0" w:line="240" w:lineRule="auto"/>
              <w:jc w:val="both"/>
              <w:rPr>
                <w:rFonts w:asciiTheme="majorHAnsi" w:eastAsia="Times New Roman" w:hAnsiTheme="majorHAnsi" w:cstheme="majorHAnsi"/>
                <w:caps/>
                <w:sz w:val="27"/>
                <w:szCs w:val="27"/>
                <w:lang w:eastAsia="fr-FR"/>
              </w:rPr>
            </w:pPr>
            <w:r w:rsidRPr="00187EA0">
              <w:rPr>
                <w:rFonts w:asciiTheme="majorHAnsi" w:eastAsia="Times New Roman" w:hAnsiTheme="majorHAnsi" w:cstheme="majorHAnsi"/>
                <w:caps/>
                <w:sz w:val="27"/>
                <w:szCs w:val="27"/>
                <w:lang w:eastAsia="fr-FR"/>
              </w:rPr>
              <w:t>CATÉGORIE D'ARCHIVE</w:t>
            </w:r>
          </w:p>
        </w:tc>
        <w:tc>
          <w:tcPr>
            <w:tcW w:w="2500" w:type="pct"/>
            <w:tcBorders>
              <w:top w:val="outset" w:sz="6" w:space="0" w:color="auto"/>
              <w:left w:val="single" w:sz="6" w:space="0" w:color="FFFFFF"/>
              <w:bottom w:val="single" w:sz="6" w:space="0" w:color="3879BF"/>
              <w:right w:val="single" w:sz="6" w:space="0" w:color="3879BF"/>
            </w:tcBorders>
            <w:shd w:val="clear" w:color="auto" w:fill="3879BF"/>
            <w:tcMar>
              <w:top w:w="150" w:type="dxa"/>
              <w:left w:w="105" w:type="dxa"/>
              <w:bottom w:w="150" w:type="dxa"/>
              <w:right w:w="105" w:type="dxa"/>
            </w:tcMar>
            <w:vAlign w:val="center"/>
            <w:hideMark/>
          </w:tcPr>
          <w:p w:rsidR="00652395" w:rsidRPr="00187EA0" w:rsidRDefault="00652395" w:rsidP="00D02D49">
            <w:pPr>
              <w:spacing w:after="0" w:line="240" w:lineRule="auto"/>
              <w:jc w:val="both"/>
              <w:rPr>
                <w:rFonts w:asciiTheme="majorHAnsi" w:eastAsia="Times New Roman" w:hAnsiTheme="majorHAnsi" w:cstheme="majorHAnsi"/>
                <w:caps/>
                <w:sz w:val="27"/>
                <w:szCs w:val="27"/>
                <w:lang w:eastAsia="fr-FR"/>
              </w:rPr>
            </w:pPr>
            <w:r w:rsidRPr="00187EA0">
              <w:rPr>
                <w:rFonts w:asciiTheme="majorHAnsi" w:eastAsia="Times New Roman" w:hAnsiTheme="majorHAnsi" w:cstheme="majorHAnsi"/>
                <w:caps/>
                <w:sz w:val="27"/>
                <w:szCs w:val="27"/>
                <w:lang w:eastAsia="fr-FR"/>
              </w:rPr>
              <w:t>EXEMPLES</w:t>
            </w:r>
          </w:p>
        </w:tc>
      </w:tr>
      <w:tr w:rsidR="00187EA0" w:rsidRPr="00187EA0" w:rsidTr="00652395">
        <w:tc>
          <w:tcPr>
            <w:tcW w:w="2500" w:type="pct"/>
            <w:tcBorders>
              <w:top w:val="single" w:sz="6" w:space="0" w:color="000000"/>
              <w:left w:val="single" w:sz="6" w:space="0" w:color="000000"/>
              <w:bottom w:val="single" w:sz="6" w:space="0" w:color="000000"/>
              <w:right w:val="single" w:sz="6" w:space="0" w:color="000000"/>
            </w:tcBorders>
            <w:shd w:val="clear" w:color="auto" w:fill="auto"/>
            <w:tcMar>
              <w:top w:w="150" w:type="dxa"/>
              <w:left w:w="105" w:type="dxa"/>
              <w:bottom w:w="150" w:type="dxa"/>
              <w:right w:w="105" w:type="dxa"/>
            </w:tcMar>
            <w:vAlign w:val="center"/>
            <w:hideMark/>
          </w:tcPr>
          <w:p w:rsidR="00652395" w:rsidRPr="00187EA0" w:rsidRDefault="00652395" w:rsidP="00D02D49">
            <w:pPr>
              <w:spacing w:after="0"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b/>
                <w:bCs/>
                <w:sz w:val="24"/>
                <w:szCs w:val="24"/>
                <w:lang w:eastAsia="fr-FR"/>
              </w:rPr>
              <w:t>Les archives publiques</w:t>
            </w:r>
            <w:r w:rsidRPr="00187EA0">
              <w:rPr>
                <w:rFonts w:asciiTheme="majorHAnsi" w:eastAsia="Times New Roman" w:hAnsiTheme="majorHAnsi" w:cstheme="majorHAnsi"/>
                <w:sz w:val="24"/>
                <w:szCs w:val="24"/>
                <w:lang w:eastAsia="fr-FR"/>
              </w:rPr>
              <w:t> dans le cadre de missions de service public qui lui seraient déléguées</w:t>
            </w:r>
          </w:p>
        </w:tc>
        <w:tc>
          <w:tcPr>
            <w:tcW w:w="2500" w:type="pct"/>
            <w:tcBorders>
              <w:top w:val="single" w:sz="6" w:space="0" w:color="000000"/>
              <w:left w:val="single" w:sz="6" w:space="0" w:color="000000"/>
              <w:bottom w:val="single" w:sz="6" w:space="0" w:color="000000"/>
              <w:right w:val="single" w:sz="6" w:space="0" w:color="000000"/>
            </w:tcBorders>
            <w:shd w:val="clear" w:color="auto" w:fill="auto"/>
            <w:tcMar>
              <w:top w:w="150" w:type="dxa"/>
              <w:left w:w="105" w:type="dxa"/>
              <w:bottom w:w="150" w:type="dxa"/>
              <w:right w:w="105" w:type="dxa"/>
            </w:tcMar>
            <w:vAlign w:val="center"/>
            <w:hideMark/>
          </w:tcPr>
          <w:p w:rsidR="00652395" w:rsidRPr="00187EA0" w:rsidRDefault="00652395" w:rsidP="00D02D49">
            <w:pPr>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b/>
                <w:bCs/>
                <w:sz w:val="24"/>
                <w:szCs w:val="24"/>
                <w:lang w:eastAsia="fr-FR"/>
              </w:rPr>
              <w:t>Exemples :</w:t>
            </w:r>
          </w:p>
          <w:p w:rsidR="00652395" w:rsidRPr="00187EA0" w:rsidRDefault="00652395" w:rsidP="00D02D49">
            <w:pPr>
              <w:numPr>
                <w:ilvl w:val="0"/>
                <w:numId w:val="10"/>
              </w:numPr>
              <w:spacing w:after="0" w:line="240" w:lineRule="auto"/>
              <w:ind w:left="0"/>
              <w:jc w:val="both"/>
              <w:rPr>
                <w:rFonts w:asciiTheme="majorHAnsi" w:eastAsia="Times New Roman" w:hAnsiTheme="majorHAnsi" w:cstheme="majorHAnsi"/>
                <w:sz w:val="24"/>
                <w:szCs w:val="24"/>
                <w:lang w:eastAsia="fr-FR"/>
              </w:rPr>
            </w:pPr>
            <w:proofErr w:type="gramStart"/>
            <w:r w:rsidRPr="00187EA0">
              <w:rPr>
                <w:rFonts w:asciiTheme="majorHAnsi" w:eastAsia="Times New Roman" w:hAnsiTheme="majorHAnsi" w:cstheme="majorHAnsi"/>
                <w:sz w:val="24"/>
                <w:szCs w:val="24"/>
                <w:lang w:eastAsia="fr-FR"/>
              </w:rPr>
              <w:t>documents</w:t>
            </w:r>
            <w:proofErr w:type="gramEnd"/>
            <w:r w:rsidRPr="00187EA0">
              <w:rPr>
                <w:rFonts w:asciiTheme="majorHAnsi" w:eastAsia="Times New Roman" w:hAnsiTheme="majorHAnsi" w:cstheme="majorHAnsi"/>
                <w:sz w:val="24"/>
                <w:szCs w:val="24"/>
                <w:lang w:eastAsia="fr-FR"/>
              </w:rPr>
              <w:t xml:space="preserve"> en lien avec la gouvernance de l’association, les instances et la vie statutaire ;</w:t>
            </w:r>
          </w:p>
          <w:p w:rsidR="00652395" w:rsidRPr="00187EA0" w:rsidRDefault="00652395" w:rsidP="00D02D49">
            <w:pPr>
              <w:numPr>
                <w:ilvl w:val="0"/>
                <w:numId w:val="10"/>
              </w:numPr>
              <w:spacing w:after="0" w:line="240" w:lineRule="auto"/>
              <w:ind w:left="0"/>
              <w:jc w:val="both"/>
              <w:rPr>
                <w:rFonts w:asciiTheme="majorHAnsi" w:eastAsia="Times New Roman" w:hAnsiTheme="majorHAnsi" w:cstheme="majorHAnsi"/>
                <w:sz w:val="24"/>
                <w:szCs w:val="24"/>
                <w:lang w:eastAsia="fr-FR"/>
              </w:rPr>
            </w:pPr>
            <w:proofErr w:type="gramStart"/>
            <w:r w:rsidRPr="00187EA0">
              <w:rPr>
                <w:rFonts w:asciiTheme="majorHAnsi" w:eastAsia="Times New Roman" w:hAnsiTheme="majorHAnsi" w:cstheme="majorHAnsi"/>
                <w:sz w:val="24"/>
                <w:szCs w:val="24"/>
                <w:lang w:eastAsia="fr-FR"/>
              </w:rPr>
              <w:t>documents</w:t>
            </w:r>
            <w:proofErr w:type="gramEnd"/>
            <w:r w:rsidRPr="00187EA0">
              <w:rPr>
                <w:rFonts w:asciiTheme="majorHAnsi" w:eastAsia="Times New Roman" w:hAnsiTheme="majorHAnsi" w:cstheme="majorHAnsi"/>
                <w:sz w:val="24"/>
                <w:szCs w:val="24"/>
                <w:lang w:eastAsia="fr-FR"/>
              </w:rPr>
              <w:t xml:space="preserve"> en lien avec les mesures exercées (mesures d’accompagnement judiciaire, enquêtes sociales, etc.).</w:t>
            </w:r>
          </w:p>
          <w:p w:rsidR="00652395" w:rsidRPr="00187EA0" w:rsidRDefault="00652395" w:rsidP="00D02D49">
            <w:pPr>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 </w:t>
            </w:r>
          </w:p>
        </w:tc>
      </w:tr>
      <w:tr w:rsidR="00187EA0" w:rsidRPr="00187EA0" w:rsidTr="00652395">
        <w:tc>
          <w:tcPr>
            <w:tcW w:w="2500" w:type="pct"/>
            <w:tcBorders>
              <w:top w:val="single" w:sz="6" w:space="0" w:color="000000"/>
              <w:left w:val="single" w:sz="6" w:space="0" w:color="000000"/>
              <w:bottom w:val="single" w:sz="6" w:space="0" w:color="000000"/>
              <w:right w:val="single" w:sz="6" w:space="0" w:color="000000"/>
            </w:tcBorders>
            <w:shd w:val="clear" w:color="auto" w:fill="F1F0EA"/>
            <w:tcMar>
              <w:top w:w="150" w:type="dxa"/>
              <w:left w:w="105" w:type="dxa"/>
              <w:bottom w:w="150" w:type="dxa"/>
              <w:right w:w="105" w:type="dxa"/>
            </w:tcMar>
            <w:vAlign w:val="center"/>
            <w:hideMark/>
          </w:tcPr>
          <w:p w:rsidR="00652395" w:rsidRPr="00187EA0" w:rsidRDefault="00652395" w:rsidP="00D02D49">
            <w:pPr>
              <w:spacing w:after="0"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b/>
                <w:bCs/>
                <w:sz w:val="24"/>
                <w:szCs w:val="24"/>
                <w:lang w:eastAsia="fr-FR"/>
              </w:rPr>
              <w:t>Les archives « internes »</w:t>
            </w:r>
            <w:r w:rsidRPr="00187EA0">
              <w:rPr>
                <w:rFonts w:asciiTheme="majorHAnsi" w:eastAsia="Times New Roman" w:hAnsiTheme="majorHAnsi" w:cstheme="majorHAnsi"/>
                <w:sz w:val="24"/>
                <w:szCs w:val="24"/>
                <w:lang w:eastAsia="fr-FR"/>
              </w:rPr>
              <w:t> pour les documents qui concernent le fonctionnement propre des services</w:t>
            </w:r>
          </w:p>
        </w:tc>
        <w:tc>
          <w:tcPr>
            <w:tcW w:w="2500" w:type="pct"/>
            <w:tcBorders>
              <w:top w:val="single" w:sz="6" w:space="0" w:color="000000"/>
              <w:left w:val="single" w:sz="6" w:space="0" w:color="000000"/>
              <w:bottom w:val="single" w:sz="6" w:space="0" w:color="000000"/>
              <w:right w:val="single" w:sz="6" w:space="0" w:color="000000"/>
            </w:tcBorders>
            <w:shd w:val="clear" w:color="auto" w:fill="F1F0EA"/>
            <w:tcMar>
              <w:top w:w="150" w:type="dxa"/>
              <w:left w:w="105" w:type="dxa"/>
              <w:bottom w:w="150" w:type="dxa"/>
              <w:right w:w="105" w:type="dxa"/>
            </w:tcMar>
            <w:vAlign w:val="center"/>
            <w:hideMark/>
          </w:tcPr>
          <w:p w:rsidR="00652395" w:rsidRPr="00187EA0" w:rsidRDefault="00652395" w:rsidP="00D02D49">
            <w:pPr>
              <w:spacing w:after="0"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b/>
                <w:bCs/>
                <w:sz w:val="24"/>
                <w:szCs w:val="24"/>
                <w:lang w:eastAsia="fr-FR"/>
              </w:rPr>
              <w:t>Exemples :</w:t>
            </w:r>
            <w:r w:rsidRPr="00187EA0">
              <w:rPr>
                <w:rFonts w:asciiTheme="majorHAnsi" w:eastAsia="Times New Roman" w:hAnsiTheme="majorHAnsi" w:cstheme="majorHAnsi"/>
                <w:sz w:val="24"/>
                <w:szCs w:val="24"/>
                <w:lang w:eastAsia="fr-FR"/>
              </w:rPr>
              <w:t> tout document en lien avec les fonctions support (ressources humaines, gestion immobilière, logistique, juridique, assurance, sécurité, comptabilité générale).</w:t>
            </w:r>
          </w:p>
        </w:tc>
      </w:tr>
    </w:tbl>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sz w:val="27"/>
          <w:szCs w:val="27"/>
          <w:lang w:eastAsia="fr-FR"/>
        </w:rPr>
        <w:t> </w:t>
      </w: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b/>
          <w:bCs/>
          <w:sz w:val="27"/>
          <w:szCs w:val="27"/>
          <w:lang w:eastAsia="fr-FR"/>
        </w:rPr>
        <w:t>Focus : comment définir si ma structure est chargée d’une mission de service public ?</w:t>
      </w:r>
    </w:p>
    <w:p w:rsidR="00652395" w:rsidRPr="00187EA0" w:rsidRDefault="00652395" w:rsidP="00D02D49">
      <w:pPr>
        <w:numPr>
          <w:ilvl w:val="0"/>
          <w:numId w:val="11"/>
        </w:numPr>
        <w:shd w:val="clear" w:color="auto" w:fill="FFFFFF"/>
        <w:spacing w:before="100" w:beforeAutospacing="1" w:after="150"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sz w:val="27"/>
          <w:szCs w:val="27"/>
          <w:lang w:eastAsia="fr-FR"/>
        </w:rPr>
        <w:t>Vérifier les statuts ;</w:t>
      </w:r>
    </w:p>
    <w:p w:rsidR="00652395" w:rsidRPr="00187EA0" w:rsidRDefault="00652395" w:rsidP="00D02D49">
      <w:pPr>
        <w:numPr>
          <w:ilvl w:val="0"/>
          <w:numId w:val="11"/>
        </w:numPr>
        <w:shd w:val="clear" w:color="auto" w:fill="FFFFFF"/>
        <w:spacing w:before="100" w:beforeAutospacing="1" w:after="150"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sz w:val="27"/>
          <w:szCs w:val="27"/>
          <w:lang w:eastAsia="fr-FR"/>
        </w:rPr>
        <w:t>Si un doute persiste : mener une analyse interne en prenant en compte un faisceau d’indices, notamment les pratiques du secteur et la jurisprudence ;</w:t>
      </w:r>
    </w:p>
    <w:p w:rsidR="00652395" w:rsidRPr="00187EA0" w:rsidRDefault="00652395" w:rsidP="00D02D49">
      <w:pPr>
        <w:numPr>
          <w:ilvl w:val="0"/>
          <w:numId w:val="11"/>
        </w:numPr>
        <w:shd w:val="clear" w:color="auto" w:fill="FFFFFF"/>
        <w:spacing w:before="100" w:beforeAutospacing="1" w:after="150"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sz w:val="27"/>
          <w:szCs w:val="27"/>
          <w:lang w:eastAsia="fr-FR"/>
        </w:rPr>
        <w:t>Si besoin : se faire accompagner par le service juridique interne ou un conseil juridique (avocat, cabinet de conseil, etc.).</w:t>
      </w: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sz w:val="27"/>
          <w:szCs w:val="27"/>
          <w:lang w:eastAsia="fr-FR"/>
        </w:rPr>
        <w:t xml:space="preserve">En cas de doute sur l’existence d’une mission de service public, il est recommandé de solliciter le </w:t>
      </w:r>
      <w:proofErr w:type="spellStart"/>
      <w:r w:rsidRPr="00187EA0">
        <w:rPr>
          <w:rFonts w:asciiTheme="majorHAnsi" w:eastAsia="Times New Roman" w:hAnsiTheme="majorHAnsi" w:cstheme="majorHAnsi"/>
          <w:sz w:val="27"/>
          <w:szCs w:val="27"/>
          <w:lang w:eastAsia="fr-FR"/>
        </w:rPr>
        <w:t>DPO</w:t>
      </w:r>
      <w:proofErr w:type="spellEnd"/>
      <w:r w:rsidRPr="00187EA0">
        <w:rPr>
          <w:rFonts w:asciiTheme="majorHAnsi" w:eastAsia="Times New Roman" w:hAnsiTheme="majorHAnsi" w:cstheme="majorHAnsi"/>
          <w:sz w:val="27"/>
          <w:szCs w:val="27"/>
          <w:lang w:eastAsia="fr-FR"/>
        </w:rPr>
        <w:t>/</w:t>
      </w:r>
      <w:proofErr w:type="spellStart"/>
      <w:r w:rsidRPr="00187EA0">
        <w:rPr>
          <w:rFonts w:asciiTheme="majorHAnsi" w:eastAsia="Times New Roman" w:hAnsiTheme="majorHAnsi" w:cstheme="majorHAnsi"/>
          <w:sz w:val="27"/>
          <w:szCs w:val="27"/>
          <w:lang w:eastAsia="fr-FR"/>
        </w:rPr>
        <w:t>DPD</w:t>
      </w:r>
      <w:proofErr w:type="spellEnd"/>
      <w:r w:rsidRPr="00187EA0">
        <w:rPr>
          <w:rFonts w:asciiTheme="majorHAnsi" w:eastAsia="Times New Roman" w:hAnsiTheme="majorHAnsi" w:cstheme="majorHAnsi"/>
          <w:sz w:val="27"/>
          <w:szCs w:val="27"/>
          <w:lang w:eastAsia="fr-FR"/>
        </w:rPr>
        <w:t>, le service juridique et/ou la direction juridique de la structure, ou encore de faire appel à un conseil juridique extérieur pour mener cette analyse.</w:t>
      </w:r>
    </w:p>
    <w:p w:rsidR="004A0D58" w:rsidRPr="00187EA0" w:rsidRDefault="004A0D58"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p>
    <w:p w:rsidR="00652395" w:rsidRPr="00187EA0" w:rsidRDefault="00652395" w:rsidP="00D02D49">
      <w:pPr>
        <w:shd w:val="clear" w:color="auto" w:fill="FFFFFF"/>
        <w:spacing w:before="211" w:after="211" w:line="240" w:lineRule="auto"/>
        <w:jc w:val="both"/>
        <w:outlineLvl w:val="2"/>
        <w:rPr>
          <w:rFonts w:asciiTheme="majorHAnsi" w:eastAsia="Times New Roman" w:hAnsiTheme="majorHAnsi" w:cstheme="majorHAnsi"/>
          <w:sz w:val="32"/>
          <w:szCs w:val="32"/>
          <w:lang w:eastAsia="fr-FR"/>
        </w:rPr>
      </w:pPr>
      <w:r w:rsidRPr="00187EA0">
        <w:rPr>
          <w:rFonts w:asciiTheme="majorHAnsi" w:eastAsia="Times New Roman" w:hAnsiTheme="majorHAnsi" w:cstheme="majorHAnsi"/>
          <w:sz w:val="32"/>
          <w:szCs w:val="32"/>
          <w:lang w:eastAsia="fr-FR"/>
        </w:rPr>
        <w:t>Identifier les textes de référence et éléments pertinents pour votre analyse</w:t>
      </w:r>
    </w:p>
    <w:p w:rsidR="004A0D58" w:rsidRPr="00187EA0" w:rsidRDefault="004A0D58" w:rsidP="00D02D49">
      <w:pPr>
        <w:shd w:val="clear" w:color="auto" w:fill="FFFFFF"/>
        <w:spacing w:before="211" w:after="211" w:line="240" w:lineRule="auto"/>
        <w:jc w:val="both"/>
        <w:outlineLvl w:val="2"/>
        <w:rPr>
          <w:rFonts w:asciiTheme="majorHAnsi" w:eastAsia="Times New Roman" w:hAnsiTheme="majorHAnsi" w:cstheme="majorHAnsi"/>
          <w:sz w:val="32"/>
          <w:szCs w:val="32"/>
          <w:lang w:eastAsia="fr-FR"/>
        </w:rPr>
      </w:pP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sz w:val="27"/>
          <w:szCs w:val="27"/>
          <w:lang w:eastAsia="fr-FR"/>
        </w:rPr>
        <w:lastRenderedPageBreak/>
        <w:t>Il s’agit de déterminer les différentes ressources sur lesquelles votre organisme pourra s’appuyer pour déterminer la durée applicable, en particulier :</w:t>
      </w:r>
    </w:p>
    <w:p w:rsidR="00652395" w:rsidRPr="00187EA0" w:rsidRDefault="00652395" w:rsidP="00D02D49">
      <w:pPr>
        <w:numPr>
          <w:ilvl w:val="0"/>
          <w:numId w:val="12"/>
        </w:numPr>
        <w:shd w:val="clear" w:color="auto" w:fill="FFFFFF"/>
        <w:spacing w:before="100" w:beforeAutospacing="1" w:after="150" w:line="240" w:lineRule="auto"/>
        <w:jc w:val="both"/>
        <w:rPr>
          <w:rFonts w:asciiTheme="majorHAnsi" w:eastAsia="Times New Roman" w:hAnsiTheme="majorHAnsi" w:cstheme="majorHAnsi"/>
          <w:sz w:val="27"/>
          <w:szCs w:val="27"/>
          <w:lang w:eastAsia="fr-FR"/>
        </w:rPr>
      </w:pPr>
      <w:proofErr w:type="gramStart"/>
      <w:r w:rsidRPr="00187EA0">
        <w:rPr>
          <w:rFonts w:asciiTheme="majorHAnsi" w:eastAsia="Times New Roman" w:hAnsiTheme="majorHAnsi" w:cstheme="majorHAnsi"/>
          <w:sz w:val="27"/>
          <w:szCs w:val="27"/>
          <w:lang w:eastAsia="fr-FR"/>
        </w:rPr>
        <w:t>les</w:t>
      </w:r>
      <w:proofErr w:type="gramEnd"/>
      <w:r w:rsidRPr="00187EA0">
        <w:rPr>
          <w:rFonts w:asciiTheme="majorHAnsi" w:eastAsia="Times New Roman" w:hAnsiTheme="majorHAnsi" w:cstheme="majorHAnsi"/>
          <w:sz w:val="27"/>
          <w:szCs w:val="27"/>
          <w:lang w:eastAsia="fr-FR"/>
        </w:rPr>
        <w:t xml:space="preserve"> dispositions législatives ou réglementaires applicables au traitement ou fichier visé</w:t>
      </w: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b/>
          <w:bCs/>
          <w:sz w:val="27"/>
          <w:szCs w:val="27"/>
          <w:lang w:eastAsia="fr-FR"/>
        </w:rPr>
        <w:t>Exemple</w:t>
      </w:r>
      <w:r w:rsidRPr="00187EA0">
        <w:rPr>
          <w:rFonts w:asciiTheme="majorHAnsi" w:eastAsia="Times New Roman" w:hAnsiTheme="majorHAnsi" w:cstheme="majorHAnsi"/>
          <w:sz w:val="27"/>
          <w:szCs w:val="27"/>
          <w:lang w:eastAsia="fr-FR"/>
        </w:rPr>
        <w:t> : </w:t>
      </w:r>
      <w:hyperlink r:id="rId14" w:tgtFrame="_blank" w:tooltip="Article R314-157 du code de l'action sociale et des familles (CASF) - Légifrance - Nouvelle fenêtre" w:history="1">
        <w:r w:rsidRPr="00187EA0">
          <w:rPr>
            <w:rFonts w:asciiTheme="majorHAnsi" w:eastAsia="Times New Roman" w:hAnsiTheme="majorHAnsi" w:cstheme="majorHAnsi"/>
            <w:sz w:val="27"/>
            <w:szCs w:val="27"/>
            <w:u w:val="single"/>
            <w:lang w:eastAsia="fr-FR"/>
          </w:rPr>
          <w:t>l’article R. 314-157 du code de l'action sociale et des familles (</w:t>
        </w:r>
        <w:proofErr w:type="spellStart"/>
        <w:r w:rsidRPr="00187EA0">
          <w:rPr>
            <w:rFonts w:asciiTheme="majorHAnsi" w:eastAsia="Times New Roman" w:hAnsiTheme="majorHAnsi" w:cstheme="majorHAnsi"/>
            <w:sz w:val="27"/>
            <w:szCs w:val="27"/>
            <w:u w:val="single"/>
            <w:lang w:eastAsia="fr-FR"/>
          </w:rPr>
          <w:t>CASF</w:t>
        </w:r>
        <w:proofErr w:type="spellEnd"/>
        <w:r w:rsidRPr="00187EA0">
          <w:rPr>
            <w:rFonts w:asciiTheme="majorHAnsi" w:eastAsia="Times New Roman" w:hAnsiTheme="majorHAnsi" w:cstheme="majorHAnsi"/>
            <w:sz w:val="27"/>
            <w:szCs w:val="27"/>
            <w:u w:val="single"/>
            <w:lang w:eastAsia="fr-FR"/>
          </w:rPr>
          <w:t>)</w:t>
        </w:r>
      </w:hyperlink>
      <w:r w:rsidRPr="00187EA0">
        <w:rPr>
          <w:rFonts w:asciiTheme="majorHAnsi" w:eastAsia="Times New Roman" w:hAnsiTheme="majorHAnsi" w:cstheme="majorHAnsi"/>
          <w:sz w:val="27"/>
          <w:szCs w:val="27"/>
          <w:lang w:eastAsia="fr-FR"/>
        </w:rPr>
        <w:t> précise que les centres d'hébergement et de réinsertion sociale conservent les dossiers des personnes accueillies deux années civiles après leur sortie ;</w:t>
      </w:r>
    </w:p>
    <w:p w:rsidR="00652395" w:rsidRPr="00187EA0" w:rsidRDefault="00652395" w:rsidP="00D02D49">
      <w:pPr>
        <w:numPr>
          <w:ilvl w:val="0"/>
          <w:numId w:val="13"/>
        </w:numPr>
        <w:shd w:val="clear" w:color="auto" w:fill="FFFFFF"/>
        <w:spacing w:before="100" w:beforeAutospacing="1" w:after="150" w:line="240" w:lineRule="auto"/>
        <w:jc w:val="both"/>
        <w:rPr>
          <w:rFonts w:asciiTheme="majorHAnsi" w:eastAsia="Times New Roman" w:hAnsiTheme="majorHAnsi" w:cstheme="majorHAnsi"/>
          <w:sz w:val="27"/>
          <w:szCs w:val="27"/>
          <w:lang w:eastAsia="fr-FR"/>
        </w:rPr>
      </w:pPr>
      <w:proofErr w:type="gramStart"/>
      <w:r w:rsidRPr="00187EA0">
        <w:rPr>
          <w:rFonts w:asciiTheme="majorHAnsi" w:eastAsia="Times New Roman" w:hAnsiTheme="majorHAnsi" w:cstheme="majorHAnsi"/>
          <w:b/>
          <w:bCs/>
          <w:sz w:val="27"/>
          <w:szCs w:val="27"/>
          <w:lang w:eastAsia="fr-FR"/>
        </w:rPr>
        <w:t>les</w:t>
      </w:r>
      <w:proofErr w:type="gramEnd"/>
      <w:r w:rsidRPr="00187EA0">
        <w:rPr>
          <w:rFonts w:asciiTheme="majorHAnsi" w:eastAsia="Times New Roman" w:hAnsiTheme="majorHAnsi" w:cstheme="majorHAnsi"/>
          <w:b/>
          <w:bCs/>
          <w:sz w:val="27"/>
          <w:szCs w:val="27"/>
          <w:lang w:eastAsia="fr-FR"/>
        </w:rPr>
        <w:t xml:space="preserve"> règles sectorielles</w:t>
      </w:r>
      <w:r w:rsidRPr="00187EA0">
        <w:rPr>
          <w:rFonts w:asciiTheme="majorHAnsi" w:eastAsia="Times New Roman" w:hAnsiTheme="majorHAnsi" w:cstheme="majorHAnsi"/>
          <w:sz w:val="27"/>
          <w:szCs w:val="27"/>
          <w:lang w:eastAsia="fr-FR"/>
        </w:rPr>
        <w:t> (textes applicables à l’accompagnement visé, recommandations sectorielles, etc.)</w:t>
      </w: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sz w:val="27"/>
          <w:szCs w:val="27"/>
          <w:lang w:eastAsia="fr-FR"/>
        </w:rPr>
        <w:t>Exemples :</w:t>
      </w:r>
    </w:p>
    <w:p w:rsidR="00652395" w:rsidRPr="00187EA0" w:rsidRDefault="00187EA0" w:rsidP="00D02D49">
      <w:pPr>
        <w:numPr>
          <w:ilvl w:val="0"/>
          <w:numId w:val="14"/>
        </w:numPr>
        <w:shd w:val="clear" w:color="auto" w:fill="FFFFFF"/>
        <w:spacing w:after="0" w:line="240" w:lineRule="auto"/>
        <w:ind w:left="0"/>
        <w:jc w:val="both"/>
        <w:rPr>
          <w:rFonts w:asciiTheme="majorHAnsi" w:eastAsia="Times New Roman" w:hAnsiTheme="majorHAnsi" w:cstheme="majorHAnsi"/>
          <w:sz w:val="27"/>
          <w:szCs w:val="27"/>
          <w:lang w:eastAsia="fr-FR"/>
        </w:rPr>
      </w:pPr>
      <w:hyperlink r:id="rId15" w:tgtFrame="_blank" w:tooltip="Recommandations de bonnes pratiques professionnelles pour le secteur social et médico-social - Site web de la Haute Autorité de Santé - Nouvelle fenêtre" w:history="1">
        <w:proofErr w:type="gramStart"/>
        <w:r w:rsidR="00652395" w:rsidRPr="00187EA0">
          <w:rPr>
            <w:rFonts w:asciiTheme="majorHAnsi" w:eastAsia="Times New Roman" w:hAnsiTheme="majorHAnsi" w:cstheme="majorHAnsi"/>
            <w:sz w:val="27"/>
            <w:szCs w:val="27"/>
            <w:u w:val="single"/>
            <w:lang w:eastAsia="fr-FR"/>
          </w:rPr>
          <w:t>recommandations</w:t>
        </w:r>
        <w:proofErr w:type="gramEnd"/>
        <w:r w:rsidR="00652395" w:rsidRPr="00187EA0">
          <w:rPr>
            <w:rFonts w:asciiTheme="majorHAnsi" w:eastAsia="Times New Roman" w:hAnsiTheme="majorHAnsi" w:cstheme="majorHAnsi"/>
            <w:sz w:val="27"/>
            <w:szCs w:val="27"/>
            <w:u w:val="single"/>
            <w:lang w:eastAsia="fr-FR"/>
          </w:rPr>
          <w:t xml:space="preserve"> de bonnes pratiques professionnelles pour le secteur social et médico-social de la Haute autorité de santé (HAS)</w:t>
        </w:r>
      </w:hyperlink>
      <w:r w:rsidR="00652395" w:rsidRPr="00187EA0">
        <w:rPr>
          <w:rFonts w:asciiTheme="majorHAnsi" w:eastAsia="Times New Roman" w:hAnsiTheme="majorHAnsi" w:cstheme="majorHAnsi"/>
          <w:sz w:val="27"/>
          <w:szCs w:val="27"/>
          <w:lang w:eastAsia="fr-FR"/>
        </w:rPr>
        <w:t> ;</w:t>
      </w:r>
    </w:p>
    <w:p w:rsidR="00652395" w:rsidRPr="00187EA0" w:rsidRDefault="00187EA0" w:rsidP="00D02D49">
      <w:pPr>
        <w:numPr>
          <w:ilvl w:val="0"/>
          <w:numId w:val="14"/>
        </w:numPr>
        <w:shd w:val="clear" w:color="auto" w:fill="FFFFFF"/>
        <w:spacing w:after="0" w:line="240" w:lineRule="auto"/>
        <w:ind w:left="0"/>
        <w:jc w:val="both"/>
        <w:rPr>
          <w:rFonts w:asciiTheme="majorHAnsi" w:eastAsia="Times New Roman" w:hAnsiTheme="majorHAnsi" w:cstheme="majorHAnsi"/>
          <w:sz w:val="27"/>
          <w:szCs w:val="27"/>
          <w:lang w:eastAsia="fr-FR"/>
        </w:rPr>
      </w:pPr>
      <w:hyperlink r:id="rId16" w:tgtFrame="_blank" w:tooltip="Recommandations de bonnes pratiques professionnelles (PDF, 1,36 Mo) - www.has-sante.fr - Nouvelle fenêtre" w:history="1">
        <w:proofErr w:type="gramStart"/>
        <w:r w:rsidR="00652395" w:rsidRPr="00187EA0">
          <w:rPr>
            <w:rFonts w:asciiTheme="majorHAnsi" w:eastAsia="Times New Roman" w:hAnsiTheme="majorHAnsi" w:cstheme="majorHAnsi"/>
            <w:sz w:val="27"/>
            <w:szCs w:val="27"/>
            <w:u w:val="single"/>
            <w:lang w:eastAsia="fr-FR"/>
          </w:rPr>
          <w:t>recommandations</w:t>
        </w:r>
        <w:proofErr w:type="gramEnd"/>
        <w:r w:rsidR="00652395" w:rsidRPr="00187EA0">
          <w:rPr>
            <w:rFonts w:asciiTheme="majorHAnsi" w:eastAsia="Times New Roman" w:hAnsiTheme="majorHAnsi" w:cstheme="majorHAnsi"/>
            <w:sz w:val="27"/>
            <w:szCs w:val="27"/>
            <w:u w:val="single"/>
            <w:lang w:eastAsia="fr-FR"/>
          </w:rPr>
          <w:t xml:space="preserve"> de bonnes pratiques professionnelles sur les attentes de la personne et le projet personnalisé de l’Agence nationale de l'évaluation et de la qualité des établissements et services sociaux et médico-sociaux (</w:t>
        </w:r>
        <w:proofErr w:type="spellStart"/>
        <w:r w:rsidR="00652395" w:rsidRPr="00187EA0">
          <w:rPr>
            <w:rFonts w:asciiTheme="majorHAnsi" w:eastAsia="Times New Roman" w:hAnsiTheme="majorHAnsi" w:cstheme="majorHAnsi"/>
            <w:sz w:val="27"/>
            <w:szCs w:val="27"/>
            <w:u w:val="single"/>
            <w:lang w:eastAsia="fr-FR"/>
          </w:rPr>
          <w:t>ANESM</w:t>
        </w:r>
        <w:proofErr w:type="spellEnd"/>
        <w:r w:rsidR="00652395" w:rsidRPr="00187EA0">
          <w:rPr>
            <w:rFonts w:asciiTheme="majorHAnsi" w:eastAsia="Times New Roman" w:hAnsiTheme="majorHAnsi" w:cstheme="majorHAnsi"/>
            <w:sz w:val="27"/>
            <w:szCs w:val="27"/>
            <w:u w:val="single"/>
            <w:lang w:eastAsia="fr-FR"/>
          </w:rPr>
          <w:t>) ;</w:t>
        </w:r>
      </w:hyperlink>
    </w:p>
    <w:p w:rsidR="00652395" w:rsidRPr="00187EA0" w:rsidRDefault="00187EA0" w:rsidP="00D02D49">
      <w:pPr>
        <w:numPr>
          <w:ilvl w:val="0"/>
          <w:numId w:val="14"/>
        </w:numPr>
        <w:shd w:val="clear" w:color="auto" w:fill="FFFFFF"/>
        <w:spacing w:after="0" w:line="240" w:lineRule="auto"/>
        <w:ind w:left="0"/>
        <w:jc w:val="both"/>
        <w:rPr>
          <w:rFonts w:asciiTheme="majorHAnsi" w:eastAsia="Times New Roman" w:hAnsiTheme="majorHAnsi" w:cstheme="majorHAnsi"/>
          <w:sz w:val="27"/>
          <w:szCs w:val="27"/>
          <w:lang w:eastAsia="fr-FR"/>
        </w:rPr>
      </w:pPr>
      <w:hyperlink r:id="rId17" w:tgtFrame="_blank" w:tooltip="Circulaire : Tri et conservation des archives produites par les communes et structures intercommunales dans leurs domaines d'activité spécifiques - francearchives.gouv.fr - Nouvelle fenêtre" w:history="1">
        <w:proofErr w:type="gramStart"/>
        <w:r w:rsidR="00652395" w:rsidRPr="00187EA0">
          <w:rPr>
            <w:rFonts w:asciiTheme="majorHAnsi" w:eastAsia="Times New Roman" w:hAnsiTheme="majorHAnsi" w:cstheme="majorHAnsi"/>
            <w:sz w:val="27"/>
            <w:szCs w:val="27"/>
            <w:u w:val="single"/>
            <w:lang w:eastAsia="fr-FR"/>
          </w:rPr>
          <w:t>préconisations</w:t>
        </w:r>
        <w:proofErr w:type="gramEnd"/>
        <w:r w:rsidR="00652395" w:rsidRPr="00187EA0">
          <w:rPr>
            <w:rFonts w:asciiTheme="majorHAnsi" w:eastAsia="Times New Roman" w:hAnsiTheme="majorHAnsi" w:cstheme="majorHAnsi"/>
            <w:sz w:val="27"/>
            <w:szCs w:val="27"/>
            <w:u w:val="single"/>
            <w:lang w:eastAsia="fr-FR"/>
          </w:rPr>
          <w:t xml:space="preserve"> relatives au tri et à la conservation des archives produites par les communes et structures intercommunales dans leurs domaines d’activité spécifiques du service interministériel des Archives de France (</w:t>
        </w:r>
        <w:proofErr w:type="spellStart"/>
        <w:r w:rsidR="00652395" w:rsidRPr="00187EA0">
          <w:rPr>
            <w:rFonts w:asciiTheme="majorHAnsi" w:eastAsia="Times New Roman" w:hAnsiTheme="majorHAnsi" w:cstheme="majorHAnsi"/>
            <w:sz w:val="27"/>
            <w:szCs w:val="27"/>
            <w:u w:val="single"/>
            <w:lang w:eastAsia="fr-FR"/>
          </w:rPr>
          <w:t>SIAF</w:t>
        </w:r>
        <w:proofErr w:type="spellEnd"/>
        <w:r w:rsidR="00652395" w:rsidRPr="00187EA0">
          <w:rPr>
            <w:rFonts w:asciiTheme="majorHAnsi" w:eastAsia="Times New Roman" w:hAnsiTheme="majorHAnsi" w:cstheme="majorHAnsi"/>
            <w:sz w:val="27"/>
            <w:szCs w:val="27"/>
            <w:u w:val="single"/>
            <w:lang w:eastAsia="fr-FR"/>
          </w:rPr>
          <w:t>)</w:t>
        </w:r>
      </w:hyperlink>
      <w:r w:rsidR="00652395" w:rsidRPr="00187EA0">
        <w:rPr>
          <w:rFonts w:asciiTheme="majorHAnsi" w:eastAsia="Times New Roman" w:hAnsiTheme="majorHAnsi" w:cstheme="majorHAnsi"/>
          <w:sz w:val="27"/>
          <w:szCs w:val="27"/>
          <w:lang w:eastAsia="fr-FR"/>
        </w:rPr>
        <w:t>, notamment à destination des crèches ;</w:t>
      </w:r>
    </w:p>
    <w:p w:rsidR="00652395" w:rsidRPr="00187EA0" w:rsidRDefault="00652395" w:rsidP="00D02D49">
      <w:pPr>
        <w:numPr>
          <w:ilvl w:val="0"/>
          <w:numId w:val="15"/>
        </w:numPr>
        <w:shd w:val="clear" w:color="auto" w:fill="FFFFFF"/>
        <w:spacing w:before="100" w:beforeAutospacing="1" w:after="150" w:line="240" w:lineRule="auto"/>
        <w:jc w:val="both"/>
        <w:rPr>
          <w:rFonts w:asciiTheme="majorHAnsi" w:eastAsia="Times New Roman" w:hAnsiTheme="majorHAnsi" w:cstheme="majorHAnsi"/>
          <w:sz w:val="27"/>
          <w:szCs w:val="27"/>
          <w:lang w:eastAsia="fr-FR"/>
        </w:rPr>
      </w:pPr>
      <w:proofErr w:type="gramStart"/>
      <w:r w:rsidRPr="00187EA0">
        <w:rPr>
          <w:rFonts w:asciiTheme="majorHAnsi" w:eastAsia="Times New Roman" w:hAnsiTheme="majorHAnsi" w:cstheme="majorHAnsi"/>
          <w:b/>
          <w:bCs/>
          <w:sz w:val="27"/>
          <w:szCs w:val="27"/>
          <w:lang w:eastAsia="fr-FR"/>
        </w:rPr>
        <w:t>la</w:t>
      </w:r>
      <w:proofErr w:type="gramEnd"/>
      <w:r w:rsidRPr="00187EA0">
        <w:rPr>
          <w:rFonts w:asciiTheme="majorHAnsi" w:eastAsia="Times New Roman" w:hAnsiTheme="majorHAnsi" w:cstheme="majorHAnsi"/>
          <w:b/>
          <w:bCs/>
          <w:sz w:val="27"/>
          <w:szCs w:val="27"/>
          <w:lang w:eastAsia="fr-FR"/>
        </w:rPr>
        <w:t xml:space="preserve"> doctrine de la CNIL</w:t>
      </w:r>
      <w:r w:rsidRPr="00187EA0">
        <w:rPr>
          <w:rFonts w:asciiTheme="majorHAnsi" w:eastAsia="Times New Roman" w:hAnsiTheme="majorHAnsi" w:cstheme="majorHAnsi"/>
          <w:sz w:val="27"/>
          <w:szCs w:val="27"/>
          <w:lang w:eastAsia="fr-FR"/>
        </w:rPr>
        <w:t> (référentiels, guides et fiches pratiques, etc.) ;</w:t>
      </w: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sz w:val="27"/>
          <w:szCs w:val="27"/>
          <w:lang w:eastAsia="fr-FR"/>
        </w:rPr>
        <w:t>Exemples :</w:t>
      </w:r>
    </w:p>
    <w:p w:rsidR="00652395" w:rsidRPr="00187EA0" w:rsidRDefault="00187EA0" w:rsidP="00D02D49">
      <w:pPr>
        <w:numPr>
          <w:ilvl w:val="0"/>
          <w:numId w:val="16"/>
        </w:numPr>
        <w:shd w:val="clear" w:color="auto" w:fill="FFFFFF"/>
        <w:spacing w:after="0" w:line="240" w:lineRule="auto"/>
        <w:ind w:left="0"/>
        <w:jc w:val="both"/>
        <w:rPr>
          <w:rFonts w:asciiTheme="majorHAnsi" w:eastAsia="Times New Roman" w:hAnsiTheme="majorHAnsi" w:cstheme="majorHAnsi"/>
          <w:sz w:val="27"/>
          <w:szCs w:val="27"/>
          <w:lang w:eastAsia="fr-FR"/>
        </w:rPr>
      </w:pPr>
      <w:hyperlink r:id="rId18" w:tgtFrame="_blank" w:tooltip="Publication du référentiel pour la prise en charge médico-sociale des personnes âgées, en situation de handicap ou en difficulté - Nouvelle fenêtre" w:history="1">
        <w:proofErr w:type="gramStart"/>
        <w:r w:rsidR="00652395" w:rsidRPr="00187EA0">
          <w:rPr>
            <w:rFonts w:asciiTheme="majorHAnsi" w:eastAsia="Times New Roman" w:hAnsiTheme="majorHAnsi" w:cstheme="majorHAnsi"/>
            <w:sz w:val="27"/>
            <w:szCs w:val="27"/>
            <w:u w:val="single"/>
            <w:lang w:eastAsia="fr-FR"/>
          </w:rPr>
          <w:t>référentiel</w:t>
        </w:r>
        <w:proofErr w:type="gramEnd"/>
        <w:r w:rsidR="00652395" w:rsidRPr="00187EA0">
          <w:rPr>
            <w:rFonts w:asciiTheme="majorHAnsi" w:eastAsia="Times New Roman" w:hAnsiTheme="majorHAnsi" w:cstheme="majorHAnsi"/>
            <w:sz w:val="27"/>
            <w:szCs w:val="27"/>
            <w:u w:val="single"/>
            <w:lang w:eastAsia="fr-FR"/>
          </w:rPr>
          <w:t xml:space="preserve"> relatif aux traitements de données personnelles pour le suivi social et médico-social des personnes âgées, en situation de handicap ou en difficulté</w:t>
        </w:r>
      </w:hyperlink>
      <w:r w:rsidR="00652395" w:rsidRPr="00187EA0">
        <w:rPr>
          <w:rFonts w:asciiTheme="majorHAnsi" w:eastAsia="Times New Roman" w:hAnsiTheme="majorHAnsi" w:cstheme="majorHAnsi"/>
          <w:sz w:val="27"/>
          <w:szCs w:val="27"/>
          <w:lang w:eastAsia="fr-FR"/>
        </w:rPr>
        <w:t> ;</w:t>
      </w:r>
    </w:p>
    <w:p w:rsidR="00652395" w:rsidRPr="00187EA0" w:rsidRDefault="00187EA0" w:rsidP="00D02D49">
      <w:pPr>
        <w:numPr>
          <w:ilvl w:val="0"/>
          <w:numId w:val="16"/>
        </w:numPr>
        <w:shd w:val="clear" w:color="auto" w:fill="FFFFFF"/>
        <w:spacing w:after="0" w:line="240" w:lineRule="auto"/>
        <w:ind w:left="0"/>
        <w:jc w:val="both"/>
        <w:rPr>
          <w:rFonts w:asciiTheme="majorHAnsi" w:eastAsia="Times New Roman" w:hAnsiTheme="majorHAnsi" w:cstheme="majorHAnsi"/>
          <w:sz w:val="27"/>
          <w:szCs w:val="27"/>
          <w:lang w:eastAsia="fr-FR"/>
        </w:rPr>
      </w:pPr>
      <w:hyperlink r:id="rId19" w:tgtFrame="_blank" w:tooltip="Protection de l’enfance et des majeurs de moins de 21 ans : la CNIL publie un référentiel - Nouvelle fenêtre" w:history="1">
        <w:proofErr w:type="gramStart"/>
        <w:r w:rsidR="00652395" w:rsidRPr="00187EA0">
          <w:rPr>
            <w:rFonts w:asciiTheme="majorHAnsi" w:eastAsia="Times New Roman" w:hAnsiTheme="majorHAnsi" w:cstheme="majorHAnsi"/>
            <w:sz w:val="27"/>
            <w:szCs w:val="27"/>
            <w:u w:val="single"/>
            <w:lang w:eastAsia="fr-FR"/>
          </w:rPr>
          <w:t>référentiel</w:t>
        </w:r>
        <w:proofErr w:type="gramEnd"/>
        <w:r w:rsidR="00652395" w:rsidRPr="00187EA0">
          <w:rPr>
            <w:rFonts w:asciiTheme="majorHAnsi" w:eastAsia="Times New Roman" w:hAnsiTheme="majorHAnsi" w:cstheme="majorHAnsi"/>
            <w:sz w:val="27"/>
            <w:szCs w:val="27"/>
            <w:u w:val="single"/>
            <w:lang w:eastAsia="fr-FR"/>
          </w:rPr>
          <w:t xml:space="preserve"> relatif aux traitements de données à caractère personnel mis en œuvre dans le cadre de la protection de l’enfance et des jeunes majeurs de moins de vingt-et-un an</w:t>
        </w:r>
      </w:hyperlink>
      <w:r w:rsidR="00652395" w:rsidRPr="00187EA0">
        <w:rPr>
          <w:rFonts w:asciiTheme="majorHAnsi" w:eastAsia="Times New Roman" w:hAnsiTheme="majorHAnsi" w:cstheme="majorHAnsi"/>
          <w:sz w:val="27"/>
          <w:szCs w:val="27"/>
          <w:lang w:eastAsia="fr-FR"/>
        </w:rPr>
        <w:t> ;</w:t>
      </w:r>
    </w:p>
    <w:p w:rsidR="00652395" w:rsidRPr="00187EA0" w:rsidRDefault="00187EA0" w:rsidP="00D02D49">
      <w:pPr>
        <w:numPr>
          <w:ilvl w:val="0"/>
          <w:numId w:val="16"/>
        </w:numPr>
        <w:shd w:val="clear" w:color="auto" w:fill="FFFFFF"/>
        <w:spacing w:after="0" w:line="240" w:lineRule="auto"/>
        <w:ind w:left="0"/>
        <w:jc w:val="both"/>
        <w:rPr>
          <w:rFonts w:asciiTheme="majorHAnsi" w:eastAsia="Times New Roman" w:hAnsiTheme="majorHAnsi" w:cstheme="majorHAnsi"/>
          <w:sz w:val="27"/>
          <w:szCs w:val="27"/>
          <w:lang w:eastAsia="fr-FR"/>
        </w:rPr>
      </w:pPr>
      <w:hyperlink r:id="rId20" w:tgtFrame="_blank" w:tooltip="Référentiel : les durées de conservation dans le secteur social et médico-social (PDF, 245 ko) - Nouvelle fenêtre" w:history="1">
        <w:proofErr w:type="gramStart"/>
        <w:r w:rsidR="00652395" w:rsidRPr="00187EA0">
          <w:rPr>
            <w:rFonts w:asciiTheme="majorHAnsi" w:eastAsia="Times New Roman" w:hAnsiTheme="majorHAnsi" w:cstheme="majorHAnsi"/>
            <w:sz w:val="27"/>
            <w:szCs w:val="27"/>
            <w:u w:val="single"/>
            <w:lang w:eastAsia="fr-FR"/>
          </w:rPr>
          <w:t>référentiel</w:t>
        </w:r>
        <w:proofErr w:type="gramEnd"/>
        <w:r w:rsidR="00652395" w:rsidRPr="00187EA0">
          <w:rPr>
            <w:rFonts w:asciiTheme="majorHAnsi" w:eastAsia="Times New Roman" w:hAnsiTheme="majorHAnsi" w:cstheme="majorHAnsi"/>
            <w:sz w:val="27"/>
            <w:szCs w:val="27"/>
            <w:u w:val="single"/>
            <w:lang w:eastAsia="fr-FR"/>
          </w:rPr>
          <w:t xml:space="preserve"> sur les durées de conservation dans le secteur social et médico-social</w:t>
        </w:r>
      </w:hyperlink>
      <w:r w:rsidR="00652395" w:rsidRPr="00187EA0">
        <w:rPr>
          <w:rFonts w:asciiTheme="majorHAnsi" w:eastAsia="Times New Roman" w:hAnsiTheme="majorHAnsi" w:cstheme="majorHAnsi"/>
          <w:sz w:val="27"/>
          <w:szCs w:val="27"/>
          <w:lang w:eastAsia="fr-FR"/>
        </w:rPr>
        <w:t> ;</w:t>
      </w:r>
    </w:p>
    <w:p w:rsidR="00652395" w:rsidRPr="00187EA0" w:rsidRDefault="00652395" w:rsidP="00D02D49">
      <w:pPr>
        <w:numPr>
          <w:ilvl w:val="0"/>
          <w:numId w:val="17"/>
        </w:numPr>
        <w:shd w:val="clear" w:color="auto" w:fill="FFFFFF"/>
        <w:spacing w:before="100" w:beforeAutospacing="1" w:after="150" w:line="240" w:lineRule="auto"/>
        <w:jc w:val="both"/>
        <w:rPr>
          <w:rFonts w:asciiTheme="majorHAnsi" w:eastAsia="Times New Roman" w:hAnsiTheme="majorHAnsi" w:cstheme="majorHAnsi"/>
          <w:sz w:val="27"/>
          <w:szCs w:val="27"/>
          <w:lang w:eastAsia="fr-FR"/>
        </w:rPr>
      </w:pPr>
      <w:proofErr w:type="gramStart"/>
      <w:r w:rsidRPr="00187EA0">
        <w:rPr>
          <w:rFonts w:asciiTheme="majorHAnsi" w:eastAsia="Times New Roman" w:hAnsiTheme="majorHAnsi" w:cstheme="majorHAnsi"/>
          <w:b/>
          <w:bCs/>
          <w:sz w:val="27"/>
          <w:szCs w:val="27"/>
          <w:lang w:eastAsia="fr-FR"/>
        </w:rPr>
        <w:t>le</w:t>
      </w:r>
      <w:proofErr w:type="gramEnd"/>
      <w:r w:rsidRPr="00187EA0">
        <w:rPr>
          <w:rFonts w:asciiTheme="majorHAnsi" w:eastAsia="Times New Roman" w:hAnsiTheme="majorHAnsi" w:cstheme="majorHAnsi"/>
          <w:b/>
          <w:bCs/>
          <w:sz w:val="27"/>
          <w:szCs w:val="27"/>
          <w:lang w:eastAsia="fr-FR"/>
        </w:rPr>
        <w:t xml:space="preserve"> corpus documentaire produit par les Archives de France</w:t>
      </w: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sz w:val="27"/>
          <w:szCs w:val="27"/>
          <w:lang w:eastAsia="fr-FR"/>
        </w:rPr>
        <w:t>Exemples :</w:t>
      </w:r>
    </w:p>
    <w:p w:rsidR="00652395" w:rsidRPr="00187EA0" w:rsidRDefault="00187EA0" w:rsidP="00D02D49">
      <w:pPr>
        <w:numPr>
          <w:ilvl w:val="0"/>
          <w:numId w:val="18"/>
        </w:numPr>
        <w:shd w:val="clear" w:color="auto" w:fill="FFFFFF"/>
        <w:spacing w:after="0" w:line="240" w:lineRule="auto"/>
        <w:ind w:left="0"/>
        <w:jc w:val="both"/>
        <w:rPr>
          <w:rFonts w:asciiTheme="majorHAnsi" w:eastAsia="Times New Roman" w:hAnsiTheme="majorHAnsi" w:cstheme="majorHAnsi"/>
          <w:sz w:val="27"/>
          <w:szCs w:val="27"/>
          <w:lang w:eastAsia="fr-FR"/>
        </w:rPr>
      </w:pPr>
      <w:hyperlink r:id="rId21" w:tgtFrame="_blank" w:tooltip="Circulaire : Tri et conservation des archives produites par les communes et structures intercommunales dans leurs domaines d'activité spécifiques - francearchives.gouv.fr - Nouvelle fenêtre" w:history="1">
        <w:proofErr w:type="gramStart"/>
        <w:r w:rsidR="00652395" w:rsidRPr="00187EA0">
          <w:rPr>
            <w:rFonts w:asciiTheme="majorHAnsi" w:eastAsia="Times New Roman" w:hAnsiTheme="majorHAnsi" w:cstheme="majorHAnsi"/>
            <w:sz w:val="27"/>
            <w:szCs w:val="27"/>
            <w:u w:val="single"/>
            <w:lang w:eastAsia="fr-FR"/>
          </w:rPr>
          <w:t>préconisations</w:t>
        </w:r>
        <w:proofErr w:type="gramEnd"/>
        <w:r w:rsidR="00652395" w:rsidRPr="00187EA0">
          <w:rPr>
            <w:rFonts w:asciiTheme="majorHAnsi" w:eastAsia="Times New Roman" w:hAnsiTheme="majorHAnsi" w:cstheme="majorHAnsi"/>
            <w:sz w:val="27"/>
            <w:szCs w:val="27"/>
            <w:u w:val="single"/>
            <w:lang w:eastAsia="fr-FR"/>
          </w:rPr>
          <w:t xml:space="preserve"> relatives au tri et à la conservation des archives produites par les communes et structures intercommunales dans leurs domaines d’activité spécifiques du </w:t>
        </w:r>
        <w:proofErr w:type="spellStart"/>
        <w:r w:rsidR="00652395" w:rsidRPr="00187EA0">
          <w:rPr>
            <w:rFonts w:asciiTheme="majorHAnsi" w:eastAsia="Times New Roman" w:hAnsiTheme="majorHAnsi" w:cstheme="majorHAnsi"/>
            <w:sz w:val="27"/>
            <w:szCs w:val="27"/>
            <w:u w:val="single"/>
            <w:lang w:eastAsia="fr-FR"/>
          </w:rPr>
          <w:t>SIAF</w:t>
        </w:r>
        <w:proofErr w:type="spellEnd"/>
      </w:hyperlink>
      <w:r w:rsidR="00652395" w:rsidRPr="00187EA0">
        <w:rPr>
          <w:rFonts w:asciiTheme="majorHAnsi" w:eastAsia="Times New Roman" w:hAnsiTheme="majorHAnsi" w:cstheme="majorHAnsi"/>
          <w:sz w:val="27"/>
          <w:szCs w:val="27"/>
          <w:lang w:eastAsia="fr-FR"/>
        </w:rPr>
        <w:t>, notamment à destination des crèches ;</w:t>
      </w:r>
    </w:p>
    <w:p w:rsidR="00652395" w:rsidRPr="00187EA0" w:rsidRDefault="00187EA0" w:rsidP="00D02D49">
      <w:pPr>
        <w:numPr>
          <w:ilvl w:val="0"/>
          <w:numId w:val="18"/>
        </w:numPr>
        <w:shd w:val="clear" w:color="auto" w:fill="FFFFFF"/>
        <w:spacing w:after="0" w:line="240" w:lineRule="auto"/>
        <w:ind w:left="0"/>
        <w:jc w:val="both"/>
        <w:rPr>
          <w:rFonts w:asciiTheme="majorHAnsi" w:eastAsia="Times New Roman" w:hAnsiTheme="majorHAnsi" w:cstheme="majorHAnsi"/>
          <w:sz w:val="27"/>
          <w:szCs w:val="27"/>
          <w:lang w:eastAsia="fr-FR"/>
        </w:rPr>
      </w:pPr>
      <w:hyperlink r:id="rId22" w:tgtFrame="_blank" w:tooltip="Circulaire : Protocole pour la gestion et la sélection des archives des Unions départementales d’associations familiales (Udaf) - francearchives.gouv.fr - Nouvelle fenêtre" w:history="1">
        <w:proofErr w:type="gramStart"/>
        <w:r w:rsidR="00652395" w:rsidRPr="00187EA0">
          <w:rPr>
            <w:rFonts w:asciiTheme="majorHAnsi" w:eastAsia="Times New Roman" w:hAnsiTheme="majorHAnsi" w:cstheme="majorHAnsi"/>
            <w:sz w:val="27"/>
            <w:szCs w:val="27"/>
            <w:u w:val="single"/>
            <w:lang w:eastAsia="fr-FR"/>
          </w:rPr>
          <w:t>protocole</w:t>
        </w:r>
        <w:proofErr w:type="gramEnd"/>
        <w:r w:rsidR="00652395" w:rsidRPr="00187EA0">
          <w:rPr>
            <w:rFonts w:asciiTheme="majorHAnsi" w:eastAsia="Times New Roman" w:hAnsiTheme="majorHAnsi" w:cstheme="majorHAnsi"/>
            <w:sz w:val="27"/>
            <w:szCs w:val="27"/>
            <w:u w:val="single"/>
            <w:lang w:eastAsia="fr-FR"/>
          </w:rPr>
          <w:t xml:space="preserve"> pour la gestion et la sélection des archives des Unions départementales d’associations familiales (</w:t>
        </w:r>
        <w:proofErr w:type="spellStart"/>
        <w:r w:rsidR="00652395" w:rsidRPr="00187EA0">
          <w:rPr>
            <w:rFonts w:asciiTheme="majorHAnsi" w:eastAsia="Times New Roman" w:hAnsiTheme="majorHAnsi" w:cstheme="majorHAnsi"/>
            <w:sz w:val="27"/>
            <w:szCs w:val="27"/>
            <w:u w:val="single"/>
            <w:lang w:eastAsia="fr-FR"/>
          </w:rPr>
          <w:t>Udaf</w:t>
        </w:r>
        <w:proofErr w:type="spellEnd"/>
        <w:r w:rsidR="00652395" w:rsidRPr="00187EA0">
          <w:rPr>
            <w:rFonts w:asciiTheme="majorHAnsi" w:eastAsia="Times New Roman" w:hAnsiTheme="majorHAnsi" w:cstheme="majorHAnsi"/>
            <w:sz w:val="27"/>
            <w:szCs w:val="27"/>
            <w:u w:val="single"/>
            <w:lang w:eastAsia="fr-FR"/>
          </w:rPr>
          <w:t>)</w:t>
        </w:r>
      </w:hyperlink>
      <w:r w:rsidR="00652395" w:rsidRPr="00187EA0">
        <w:rPr>
          <w:rFonts w:asciiTheme="majorHAnsi" w:eastAsia="Times New Roman" w:hAnsiTheme="majorHAnsi" w:cstheme="majorHAnsi"/>
          <w:sz w:val="27"/>
          <w:szCs w:val="27"/>
          <w:lang w:eastAsia="fr-FR"/>
        </w:rPr>
        <w:t>  ;</w:t>
      </w:r>
    </w:p>
    <w:p w:rsidR="00652395" w:rsidRPr="00187EA0" w:rsidRDefault="00652395" w:rsidP="00D02D49">
      <w:pPr>
        <w:numPr>
          <w:ilvl w:val="0"/>
          <w:numId w:val="18"/>
        </w:numPr>
        <w:shd w:val="clear" w:color="auto" w:fill="FFFFFF"/>
        <w:spacing w:after="0" w:line="240" w:lineRule="auto"/>
        <w:ind w:left="0"/>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sz w:val="27"/>
          <w:szCs w:val="27"/>
          <w:lang w:eastAsia="fr-FR"/>
        </w:rPr>
        <w:lastRenderedPageBreak/>
        <w:t>etc.</w:t>
      </w:r>
    </w:p>
    <w:p w:rsidR="00F01DFE" w:rsidRPr="00187EA0" w:rsidRDefault="00F01DFE" w:rsidP="00D02D49">
      <w:pPr>
        <w:shd w:val="clear" w:color="auto" w:fill="FFFFFF"/>
        <w:spacing w:before="225" w:after="225" w:line="240" w:lineRule="auto"/>
        <w:jc w:val="both"/>
        <w:rPr>
          <w:rFonts w:asciiTheme="majorHAnsi" w:eastAsia="Times New Roman" w:hAnsiTheme="majorHAnsi" w:cstheme="majorHAnsi"/>
          <w:sz w:val="27"/>
          <w:szCs w:val="27"/>
          <w:lang w:eastAsia="fr-FR"/>
        </w:rPr>
      </w:pPr>
    </w:p>
    <w:p w:rsidR="00652395" w:rsidRPr="00187EA0" w:rsidRDefault="00652395" w:rsidP="00D02D49">
      <w:pPr>
        <w:shd w:val="clear" w:color="auto" w:fill="FFFFFF"/>
        <w:spacing w:before="211" w:after="211" w:line="240" w:lineRule="auto"/>
        <w:jc w:val="both"/>
        <w:outlineLvl w:val="1"/>
        <w:rPr>
          <w:rFonts w:asciiTheme="majorHAnsi" w:eastAsia="Times New Roman" w:hAnsiTheme="majorHAnsi" w:cstheme="majorHAnsi"/>
          <w:b/>
          <w:bCs/>
          <w:sz w:val="36"/>
          <w:szCs w:val="36"/>
          <w:lang w:eastAsia="fr-FR"/>
        </w:rPr>
      </w:pPr>
      <w:r w:rsidRPr="00187EA0">
        <w:rPr>
          <w:rFonts w:asciiTheme="majorHAnsi" w:eastAsia="Times New Roman" w:hAnsiTheme="majorHAnsi" w:cstheme="majorHAnsi"/>
          <w:b/>
          <w:bCs/>
          <w:sz w:val="36"/>
          <w:szCs w:val="36"/>
          <w:lang w:eastAsia="fr-FR"/>
        </w:rPr>
        <w:t>Étape n° 4 : définir et appliquer la durée adéquate en lien avec les opérationnels</w:t>
      </w:r>
    </w:p>
    <w:p w:rsidR="00652395" w:rsidRPr="00187EA0" w:rsidRDefault="00652395" w:rsidP="00D02D49">
      <w:pPr>
        <w:shd w:val="clear" w:color="auto" w:fill="FFFFFF"/>
        <w:spacing w:before="211" w:after="211" w:line="240" w:lineRule="auto"/>
        <w:jc w:val="both"/>
        <w:outlineLvl w:val="2"/>
        <w:rPr>
          <w:rFonts w:asciiTheme="majorHAnsi" w:eastAsia="Times New Roman" w:hAnsiTheme="majorHAnsi" w:cstheme="majorHAnsi"/>
          <w:sz w:val="32"/>
          <w:szCs w:val="32"/>
          <w:lang w:eastAsia="fr-FR"/>
        </w:rPr>
      </w:pPr>
      <w:r w:rsidRPr="00187EA0">
        <w:rPr>
          <w:rFonts w:asciiTheme="majorHAnsi" w:eastAsia="Times New Roman" w:hAnsiTheme="majorHAnsi" w:cstheme="majorHAnsi"/>
          <w:sz w:val="32"/>
          <w:szCs w:val="32"/>
          <w:lang w:eastAsia="fr-FR"/>
        </w:rPr>
        <w:t>Identifier la durée pertinente</w:t>
      </w: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sz w:val="27"/>
          <w:szCs w:val="27"/>
          <w:lang w:eastAsia="fr-FR"/>
        </w:rPr>
        <w:t>Sur la base des informations recensées, votre organisme doit vérifier si un texte (législatif ou réglementaire) impose une durée.</w:t>
      </w:r>
    </w:p>
    <w:p w:rsidR="00F01DFE" w:rsidRPr="00187EA0" w:rsidRDefault="00F01DFE"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28"/>
        <w:gridCol w:w="4528"/>
      </w:tblGrid>
      <w:tr w:rsidR="00187EA0" w:rsidRPr="00187EA0" w:rsidTr="00652395">
        <w:trPr>
          <w:tblHeader/>
        </w:trPr>
        <w:tc>
          <w:tcPr>
            <w:tcW w:w="2500" w:type="pct"/>
            <w:tcBorders>
              <w:top w:val="outset" w:sz="6" w:space="0" w:color="auto"/>
              <w:left w:val="single" w:sz="6" w:space="0" w:color="3879BF"/>
              <w:bottom w:val="single" w:sz="6" w:space="0" w:color="3879BF"/>
              <w:right w:val="outset" w:sz="6" w:space="0" w:color="auto"/>
            </w:tcBorders>
            <w:shd w:val="clear" w:color="auto" w:fill="3879BF"/>
            <w:tcMar>
              <w:top w:w="150" w:type="dxa"/>
              <w:left w:w="105" w:type="dxa"/>
              <w:bottom w:w="150" w:type="dxa"/>
              <w:right w:w="105" w:type="dxa"/>
            </w:tcMar>
            <w:vAlign w:val="center"/>
            <w:hideMark/>
          </w:tcPr>
          <w:p w:rsidR="00652395" w:rsidRPr="00187EA0" w:rsidRDefault="00652395" w:rsidP="00D02D49">
            <w:pPr>
              <w:spacing w:after="0" w:line="240" w:lineRule="auto"/>
              <w:jc w:val="both"/>
              <w:rPr>
                <w:rFonts w:asciiTheme="majorHAnsi" w:eastAsia="Times New Roman" w:hAnsiTheme="majorHAnsi" w:cstheme="majorHAnsi"/>
                <w:caps/>
                <w:sz w:val="27"/>
                <w:szCs w:val="27"/>
                <w:lang w:eastAsia="fr-FR"/>
              </w:rPr>
            </w:pPr>
            <w:r w:rsidRPr="00187EA0">
              <w:rPr>
                <w:rFonts w:asciiTheme="majorHAnsi" w:eastAsia="Times New Roman" w:hAnsiTheme="majorHAnsi" w:cstheme="majorHAnsi"/>
                <w:caps/>
                <w:sz w:val="27"/>
                <w:szCs w:val="27"/>
                <w:lang w:eastAsia="fr-FR"/>
              </w:rPr>
              <w:t>UN TEXTE IMPOSE-T-IL UNE DURÉE ?</w:t>
            </w:r>
          </w:p>
        </w:tc>
        <w:tc>
          <w:tcPr>
            <w:tcW w:w="2500" w:type="pct"/>
            <w:tcBorders>
              <w:top w:val="outset" w:sz="6" w:space="0" w:color="auto"/>
              <w:left w:val="single" w:sz="6" w:space="0" w:color="FFFFFF"/>
              <w:bottom w:val="single" w:sz="6" w:space="0" w:color="3879BF"/>
              <w:right w:val="single" w:sz="6" w:space="0" w:color="3879BF"/>
            </w:tcBorders>
            <w:shd w:val="clear" w:color="auto" w:fill="3879BF"/>
            <w:tcMar>
              <w:top w:w="150" w:type="dxa"/>
              <w:left w:w="105" w:type="dxa"/>
              <w:bottom w:w="150" w:type="dxa"/>
              <w:right w:w="105" w:type="dxa"/>
            </w:tcMar>
            <w:vAlign w:val="center"/>
            <w:hideMark/>
          </w:tcPr>
          <w:p w:rsidR="00652395" w:rsidRPr="00187EA0" w:rsidRDefault="00652395" w:rsidP="00D02D49">
            <w:pPr>
              <w:spacing w:after="0" w:line="240" w:lineRule="auto"/>
              <w:jc w:val="both"/>
              <w:rPr>
                <w:rFonts w:asciiTheme="majorHAnsi" w:eastAsia="Times New Roman" w:hAnsiTheme="majorHAnsi" w:cstheme="majorHAnsi"/>
                <w:caps/>
                <w:sz w:val="27"/>
                <w:szCs w:val="27"/>
                <w:lang w:eastAsia="fr-FR"/>
              </w:rPr>
            </w:pPr>
            <w:r w:rsidRPr="00187EA0">
              <w:rPr>
                <w:rFonts w:asciiTheme="majorHAnsi" w:eastAsia="Times New Roman" w:hAnsiTheme="majorHAnsi" w:cstheme="majorHAnsi"/>
                <w:caps/>
                <w:sz w:val="27"/>
                <w:szCs w:val="27"/>
                <w:lang w:eastAsia="fr-FR"/>
              </w:rPr>
              <w:t>LES QUESTIONS À SE POSER</w:t>
            </w:r>
          </w:p>
        </w:tc>
      </w:tr>
      <w:tr w:rsidR="00187EA0" w:rsidRPr="00187EA0" w:rsidTr="00652395">
        <w:tc>
          <w:tcPr>
            <w:tcW w:w="2500" w:type="pct"/>
            <w:tcBorders>
              <w:top w:val="single" w:sz="6" w:space="0" w:color="000000"/>
              <w:left w:val="single" w:sz="6" w:space="0" w:color="000000"/>
              <w:bottom w:val="single" w:sz="6" w:space="0" w:color="000000"/>
              <w:right w:val="single" w:sz="6" w:space="0" w:color="000000"/>
            </w:tcBorders>
            <w:shd w:val="clear" w:color="auto" w:fill="auto"/>
            <w:tcMar>
              <w:top w:w="150" w:type="dxa"/>
              <w:left w:w="105" w:type="dxa"/>
              <w:bottom w:w="150" w:type="dxa"/>
              <w:right w:w="105" w:type="dxa"/>
            </w:tcMar>
            <w:vAlign w:val="center"/>
            <w:hideMark/>
          </w:tcPr>
          <w:p w:rsidR="00652395" w:rsidRPr="00187EA0" w:rsidRDefault="00652395" w:rsidP="00D02D49">
            <w:pPr>
              <w:spacing w:after="0"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b/>
                <w:bCs/>
                <w:sz w:val="24"/>
                <w:szCs w:val="24"/>
                <w:lang w:eastAsia="fr-FR"/>
              </w:rPr>
              <w:t>Si oui</w:t>
            </w:r>
          </w:p>
        </w:tc>
        <w:tc>
          <w:tcPr>
            <w:tcW w:w="2500" w:type="pct"/>
            <w:tcBorders>
              <w:top w:val="single" w:sz="6" w:space="0" w:color="000000"/>
              <w:left w:val="single" w:sz="6" w:space="0" w:color="000000"/>
              <w:bottom w:val="single" w:sz="6" w:space="0" w:color="000000"/>
              <w:right w:val="single" w:sz="6" w:space="0" w:color="000000"/>
            </w:tcBorders>
            <w:shd w:val="clear" w:color="auto" w:fill="auto"/>
            <w:tcMar>
              <w:top w:w="150" w:type="dxa"/>
              <w:left w:w="105" w:type="dxa"/>
              <w:bottom w:w="150" w:type="dxa"/>
              <w:right w:w="105" w:type="dxa"/>
            </w:tcMar>
            <w:vAlign w:val="center"/>
            <w:hideMark/>
          </w:tcPr>
          <w:p w:rsidR="00652395" w:rsidRPr="00187EA0" w:rsidRDefault="00652395" w:rsidP="00D02D49">
            <w:pPr>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Quel est le périmètre de cette obligation ?</w:t>
            </w:r>
          </w:p>
          <w:p w:rsidR="00652395" w:rsidRPr="00187EA0" w:rsidRDefault="00652395" w:rsidP="00D02D49">
            <w:pPr>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Quelles sont les données personnelles concernées par cette obligation ?</w:t>
            </w:r>
          </w:p>
          <w:p w:rsidR="00652395" w:rsidRPr="00187EA0" w:rsidRDefault="00652395" w:rsidP="00D02D49">
            <w:pPr>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Est-ce une durée minimale ou maximale ?</w:t>
            </w:r>
          </w:p>
          <w:p w:rsidR="00652395" w:rsidRPr="00187EA0" w:rsidRDefault="00652395" w:rsidP="00D02D49">
            <w:pPr>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Quelle phase (utilisation courante, archivage) est concernée par l’obligation ?</w:t>
            </w:r>
          </w:p>
        </w:tc>
      </w:tr>
      <w:tr w:rsidR="00187EA0" w:rsidRPr="00187EA0" w:rsidTr="00652395">
        <w:tc>
          <w:tcPr>
            <w:tcW w:w="2500" w:type="pct"/>
            <w:tcBorders>
              <w:top w:val="single" w:sz="6" w:space="0" w:color="000000"/>
              <w:left w:val="single" w:sz="6" w:space="0" w:color="000000"/>
              <w:bottom w:val="single" w:sz="6" w:space="0" w:color="000000"/>
              <w:right w:val="single" w:sz="6" w:space="0" w:color="000000"/>
            </w:tcBorders>
            <w:shd w:val="clear" w:color="auto" w:fill="F1F0EA"/>
            <w:tcMar>
              <w:top w:w="150" w:type="dxa"/>
              <w:left w:w="105" w:type="dxa"/>
              <w:bottom w:w="150" w:type="dxa"/>
              <w:right w:w="105" w:type="dxa"/>
            </w:tcMar>
            <w:vAlign w:val="center"/>
            <w:hideMark/>
          </w:tcPr>
          <w:p w:rsidR="00652395" w:rsidRPr="00187EA0" w:rsidRDefault="00652395" w:rsidP="00D02D49">
            <w:pPr>
              <w:spacing w:after="0"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b/>
                <w:bCs/>
                <w:sz w:val="24"/>
                <w:szCs w:val="24"/>
                <w:lang w:eastAsia="fr-FR"/>
              </w:rPr>
              <w:t>Si non</w:t>
            </w:r>
          </w:p>
        </w:tc>
        <w:tc>
          <w:tcPr>
            <w:tcW w:w="2500" w:type="pct"/>
            <w:tcBorders>
              <w:top w:val="single" w:sz="6" w:space="0" w:color="000000"/>
              <w:left w:val="single" w:sz="6" w:space="0" w:color="000000"/>
              <w:bottom w:val="single" w:sz="6" w:space="0" w:color="000000"/>
              <w:right w:val="single" w:sz="6" w:space="0" w:color="000000"/>
            </w:tcBorders>
            <w:shd w:val="clear" w:color="auto" w:fill="F1F0EA"/>
            <w:tcMar>
              <w:top w:w="150" w:type="dxa"/>
              <w:left w:w="105" w:type="dxa"/>
              <w:bottom w:w="150" w:type="dxa"/>
              <w:right w:w="105" w:type="dxa"/>
            </w:tcMar>
            <w:vAlign w:val="center"/>
            <w:hideMark/>
          </w:tcPr>
          <w:p w:rsidR="00652395" w:rsidRPr="00187EA0" w:rsidRDefault="00652395" w:rsidP="00D02D49">
            <w:pPr>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L’organisme doit évaluer, en fonction de ses besoins, la durée appropriée pour le fichier (jusqu’à quand les données sont-elles nécessaires pour atteindre l’objectif (finalité) fixé ?).</w:t>
            </w:r>
          </w:p>
          <w:p w:rsidR="00652395" w:rsidRPr="00187EA0" w:rsidRDefault="00652395" w:rsidP="00D02D49">
            <w:pPr>
              <w:spacing w:before="211" w:after="211"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Pour procéder à cette </w:t>
            </w:r>
            <w:r w:rsidRPr="00187EA0">
              <w:rPr>
                <w:rFonts w:asciiTheme="majorHAnsi" w:eastAsia="Times New Roman" w:hAnsiTheme="majorHAnsi" w:cstheme="majorHAnsi"/>
                <w:b/>
                <w:bCs/>
                <w:sz w:val="24"/>
                <w:szCs w:val="24"/>
                <w:lang w:eastAsia="fr-FR"/>
              </w:rPr>
              <w:t>analyse interne</w:t>
            </w:r>
            <w:r w:rsidRPr="00187EA0">
              <w:rPr>
                <w:rFonts w:asciiTheme="majorHAnsi" w:eastAsia="Times New Roman" w:hAnsiTheme="majorHAnsi" w:cstheme="majorHAnsi"/>
                <w:sz w:val="24"/>
                <w:szCs w:val="24"/>
                <w:lang w:eastAsia="fr-FR"/>
              </w:rPr>
              <w:t>, l’organisme peut s’appuyer sur les préconisations de la CNIL ou les recommandations sectorielles pour ce traitement (voir les liens dans la partie « Ressources » en bas de page).</w:t>
            </w:r>
          </w:p>
        </w:tc>
      </w:tr>
    </w:tbl>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sz w:val="27"/>
          <w:szCs w:val="27"/>
          <w:lang w:eastAsia="fr-FR"/>
        </w:rPr>
        <w:t>Exemples :</w:t>
      </w: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sz w:val="27"/>
          <w:szCs w:val="27"/>
          <w:lang w:eastAsia="fr-FR"/>
        </w:rPr>
        <w:t xml:space="preserve">Pour certaines structures, un texte législatif ou réglementaire prévoit une durée de conservation de deux ans (cf. « textes de références » dans le référentiel des durées de conservation). C’est le cas notamment des centres d’hébergement et de </w:t>
      </w:r>
      <w:r w:rsidRPr="00187EA0">
        <w:rPr>
          <w:rFonts w:asciiTheme="majorHAnsi" w:eastAsia="Times New Roman" w:hAnsiTheme="majorHAnsi" w:cstheme="majorHAnsi"/>
          <w:sz w:val="27"/>
          <w:szCs w:val="27"/>
          <w:lang w:eastAsia="fr-FR"/>
        </w:rPr>
        <w:lastRenderedPageBreak/>
        <w:t>réinsertion sociale (</w:t>
      </w:r>
      <w:proofErr w:type="spellStart"/>
      <w:r w:rsidRPr="00187EA0">
        <w:rPr>
          <w:rFonts w:asciiTheme="majorHAnsi" w:eastAsia="Times New Roman" w:hAnsiTheme="majorHAnsi" w:cstheme="majorHAnsi"/>
          <w:sz w:val="27"/>
          <w:szCs w:val="27"/>
          <w:lang w:eastAsia="fr-FR"/>
        </w:rPr>
        <w:t>CHRS</w:t>
      </w:r>
      <w:proofErr w:type="spellEnd"/>
      <w:r w:rsidRPr="00187EA0">
        <w:rPr>
          <w:rFonts w:asciiTheme="majorHAnsi" w:eastAsia="Times New Roman" w:hAnsiTheme="majorHAnsi" w:cstheme="majorHAnsi"/>
          <w:sz w:val="27"/>
          <w:szCs w:val="27"/>
          <w:lang w:eastAsia="fr-FR"/>
        </w:rPr>
        <w:t>), des centres d’accueil de demandeurs d’asile (</w:t>
      </w:r>
      <w:proofErr w:type="spellStart"/>
      <w:r w:rsidRPr="00187EA0">
        <w:rPr>
          <w:rFonts w:asciiTheme="majorHAnsi" w:eastAsia="Times New Roman" w:hAnsiTheme="majorHAnsi" w:cstheme="majorHAnsi"/>
          <w:sz w:val="27"/>
          <w:szCs w:val="27"/>
          <w:lang w:eastAsia="fr-FR"/>
        </w:rPr>
        <w:t>CADA</w:t>
      </w:r>
      <w:proofErr w:type="spellEnd"/>
      <w:r w:rsidRPr="00187EA0">
        <w:rPr>
          <w:rFonts w:asciiTheme="majorHAnsi" w:eastAsia="Times New Roman" w:hAnsiTheme="majorHAnsi" w:cstheme="majorHAnsi"/>
          <w:sz w:val="27"/>
          <w:szCs w:val="27"/>
          <w:lang w:eastAsia="fr-FR"/>
        </w:rPr>
        <w:t>), des hébergements d’urgence pour demandeurs d’asile (</w:t>
      </w:r>
      <w:proofErr w:type="spellStart"/>
      <w:r w:rsidRPr="00187EA0">
        <w:rPr>
          <w:rFonts w:asciiTheme="majorHAnsi" w:eastAsia="Times New Roman" w:hAnsiTheme="majorHAnsi" w:cstheme="majorHAnsi"/>
          <w:sz w:val="27"/>
          <w:szCs w:val="27"/>
          <w:lang w:eastAsia="fr-FR"/>
        </w:rPr>
        <w:t>HUDA</w:t>
      </w:r>
      <w:proofErr w:type="spellEnd"/>
      <w:r w:rsidRPr="00187EA0">
        <w:rPr>
          <w:rFonts w:asciiTheme="majorHAnsi" w:eastAsia="Times New Roman" w:hAnsiTheme="majorHAnsi" w:cstheme="majorHAnsi"/>
          <w:sz w:val="27"/>
          <w:szCs w:val="27"/>
          <w:lang w:eastAsia="fr-FR"/>
        </w:rPr>
        <w:t>) ou des centres d’accueil et d’examen des situations (</w:t>
      </w:r>
      <w:proofErr w:type="spellStart"/>
      <w:r w:rsidRPr="00187EA0">
        <w:rPr>
          <w:rFonts w:asciiTheme="majorHAnsi" w:eastAsia="Times New Roman" w:hAnsiTheme="majorHAnsi" w:cstheme="majorHAnsi"/>
          <w:sz w:val="27"/>
          <w:szCs w:val="27"/>
          <w:lang w:eastAsia="fr-FR"/>
        </w:rPr>
        <w:t>CAES</w:t>
      </w:r>
      <w:proofErr w:type="spellEnd"/>
      <w:r w:rsidRPr="00187EA0">
        <w:rPr>
          <w:rFonts w:asciiTheme="majorHAnsi" w:eastAsia="Times New Roman" w:hAnsiTheme="majorHAnsi" w:cstheme="majorHAnsi"/>
          <w:sz w:val="27"/>
          <w:szCs w:val="27"/>
          <w:lang w:eastAsia="fr-FR"/>
        </w:rPr>
        <w:t>).</w:t>
      </w: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sz w:val="27"/>
          <w:szCs w:val="27"/>
          <w:lang w:eastAsia="fr-FR"/>
        </w:rPr>
        <w:t>Or, pour une partie des structures du secteur de l’inclusion sociale, aucune disposition législative ou règlementaire ne prévoit de durée de conservation des données.</w:t>
      </w: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sz w:val="27"/>
          <w:szCs w:val="27"/>
          <w:lang w:eastAsia="fr-FR"/>
        </w:rPr>
        <w:t>Dans ce cas, la CNIL recommande une durée de conservation de deux ans à compter du dernier contact avec la personne faisant l’objet de l’accompagnement social et / ou médico-social (cf. </w:t>
      </w:r>
      <w:hyperlink r:id="rId23" w:tgtFrame="_blank" w:tooltip="Publication du référentiel pour la prise en charge médico-sociale des personnes âgées, en situation de handicap ou en difficulté - Nouvelle fenêtre" w:history="1">
        <w:r w:rsidRPr="00187EA0">
          <w:rPr>
            <w:rFonts w:asciiTheme="majorHAnsi" w:eastAsia="Times New Roman" w:hAnsiTheme="majorHAnsi" w:cstheme="majorHAnsi"/>
            <w:sz w:val="27"/>
            <w:szCs w:val="27"/>
            <w:u w:val="single"/>
            <w:lang w:eastAsia="fr-FR"/>
          </w:rPr>
          <w:t>référentiel relatif à l’accompagnement des personnes âgées, des personnes en situation de handicap et des personnes en difficulté</w:t>
        </w:r>
      </w:hyperlink>
      <w:r w:rsidRPr="00187EA0">
        <w:rPr>
          <w:rFonts w:asciiTheme="majorHAnsi" w:eastAsia="Times New Roman" w:hAnsiTheme="majorHAnsi" w:cstheme="majorHAnsi"/>
          <w:sz w:val="27"/>
          <w:szCs w:val="27"/>
          <w:lang w:eastAsia="fr-FR"/>
        </w:rPr>
        <w:t>).</w:t>
      </w:r>
    </w:p>
    <w:p w:rsidR="004A0D58" w:rsidRPr="00187EA0" w:rsidRDefault="004A0D58"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p>
    <w:p w:rsidR="00652395" w:rsidRPr="00187EA0" w:rsidRDefault="00652395" w:rsidP="00D02D49">
      <w:pPr>
        <w:shd w:val="clear" w:color="auto" w:fill="FFFFFF"/>
        <w:spacing w:before="211" w:after="211" w:line="240" w:lineRule="auto"/>
        <w:jc w:val="both"/>
        <w:outlineLvl w:val="2"/>
        <w:rPr>
          <w:rFonts w:asciiTheme="majorHAnsi" w:eastAsia="Times New Roman" w:hAnsiTheme="majorHAnsi" w:cstheme="majorHAnsi"/>
          <w:sz w:val="32"/>
          <w:szCs w:val="32"/>
          <w:lang w:eastAsia="fr-FR"/>
        </w:rPr>
      </w:pPr>
      <w:r w:rsidRPr="00187EA0">
        <w:rPr>
          <w:rFonts w:asciiTheme="majorHAnsi" w:eastAsia="Times New Roman" w:hAnsiTheme="majorHAnsi" w:cstheme="majorHAnsi"/>
          <w:sz w:val="32"/>
          <w:szCs w:val="32"/>
          <w:lang w:eastAsia="fr-FR"/>
        </w:rPr>
        <w:t>Appliquer la durée de conservation retenue</w:t>
      </w: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sz w:val="27"/>
          <w:szCs w:val="27"/>
          <w:lang w:eastAsia="fr-FR"/>
        </w:rPr>
        <w:t>Pour cela, il est nécessaire :</w:t>
      </w:r>
    </w:p>
    <w:p w:rsidR="00652395" w:rsidRPr="00187EA0" w:rsidRDefault="00652395" w:rsidP="00D02D49">
      <w:pPr>
        <w:numPr>
          <w:ilvl w:val="0"/>
          <w:numId w:val="19"/>
        </w:numPr>
        <w:shd w:val="clear" w:color="auto" w:fill="FFFFFF"/>
        <w:spacing w:after="0" w:line="240" w:lineRule="auto"/>
        <w:ind w:left="0"/>
        <w:jc w:val="both"/>
        <w:rPr>
          <w:rFonts w:asciiTheme="majorHAnsi" w:eastAsia="Times New Roman" w:hAnsiTheme="majorHAnsi" w:cstheme="majorHAnsi"/>
          <w:sz w:val="27"/>
          <w:szCs w:val="27"/>
          <w:lang w:eastAsia="fr-FR"/>
        </w:rPr>
      </w:pPr>
      <w:proofErr w:type="gramStart"/>
      <w:r w:rsidRPr="00187EA0">
        <w:rPr>
          <w:rFonts w:asciiTheme="majorHAnsi" w:eastAsia="Times New Roman" w:hAnsiTheme="majorHAnsi" w:cstheme="majorHAnsi"/>
          <w:b/>
          <w:bCs/>
          <w:sz w:val="27"/>
          <w:szCs w:val="27"/>
          <w:lang w:eastAsia="fr-FR"/>
        </w:rPr>
        <w:t>de</w:t>
      </w:r>
      <w:proofErr w:type="gramEnd"/>
      <w:r w:rsidRPr="00187EA0">
        <w:rPr>
          <w:rFonts w:asciiTheme="majorHAnsi" w:eastAsia="Times New Roman" w:hAnsiTheme="majorHAnsi" w:cstheme="majorHAnsi"/>
          <w:b/>
          <w:bCs/>
          <w:sz w:val="27"/>
          <w:szCs w:val="27"/>
          <w:lang w:eastAsia="fr-FR"/>
        </w:rPr>
        <w:t xml:space="preserve"> solliciter les bons interlocuteurs</w:t>
      </w:r>
      <w:r w:rsidRPr="00187EA0">
        <w:rPr>
          <w:rFonts w:asciiTheme="majorHAnsi" w:eastAsia="Times New Roman" w:hAnsiTheme="majorHAnsi" w:cstheme="majorHAnsi"/>
          <w:sz w:val="27"/>
          <w:szCs w:val="27"/>
          <w:lang w:eastAsia="fr-FR"/>
        </w:rPr>
        <w:t> en interne (ex : service informatique) ou en externe (ex : prestataire) pour engager les développements informatiques nécessaires ;</w:t>
      </w:r>
    </w:p>
    <w:p w:rsidR="00652395" w:rsidRPr="00187EA0" w:rsidRDefault="00652395" w:rsidP="00D02D49">
      <w:pPr>
        <w:numPr>
          <w:ilvl w:val="0"/>
          <w:numId w:val="19"/>
        </w:numPr>
        <w:shd w:val="clear" w:color="auto" w:fill="FFFFFF"/>
        <w:spacing w:after="0" w:line="240" w:lineRule="auto"/>
        <w:ind w:left="0"/>
        <w:jc w:val="both"/>
        <w:rPr>
          <w:rFonts w:asciiTheme="majorHAnsi" w:eastAsia="Times New Roman" w:hAnsiTheme="majorHAnsi" w:cstheme="majorHAnsi"/>
          <w:sz w:val="27"/>
          <w:szCs w:val="27"/>
          <w:lang w:eastAsia="fr-FR"/>
        </w:rPr>
      </w:pPr>
      <w:proofErr w:type="gramStart"/>
      <w:r w:rsidRPr="00187EA0">
        <w:rPr>
          <w:rFonts w:asciiTheme="majorHAnsi" w:eastAsia="Times New Roman" w:hAnsiTheme="majorHAnsi" w:cstheme="majorHAnsi"/>
          <w:b/>
          <w:bCs/>
          <w:sz w:val="27"/>
          <w:szCs w:val="27"/>
          <w:lang w:eastAsia="fr-FR"/>
        </w:rPr>
        <w:t>de</w:t>
      </w:r>
      <w:proofErr w:type="gramEnd"/>
      <w:r w:rsidRPr="00187EA0">
        <w:rPr>
          <w:rFonts w:asciiTheme="majorHAnsi" w:eastAsia="Times New Roman" w:hAnsiTheme="majorHAnsi" w:cstheme="majorHAnsi"/>
          <w:b/>
          <w:bCs/>
          <w:sz w:val="27"/>
          <w:szCs w:val="27"/>
          <w:lang w:eastAsia="fr-FR"/>
        </w:rPr>
        <w:t xml:space="preserve"> modifier les procédures internes</w:t>
      </w:r>
      <w:r w:rsidRPr="00187EA0">
        <w:rPr>
          <w:rFonts w:asciiTheme="majorHAnsi" w:eastAsia="Times New Roman" w:hAnsiTheme="majorHAnsi" w:cstheme="majorHAnsi"/>
          <w:sz w:val="27"/>
          <w:szCs w:val="27"/>
          <w:lang w:eastAsia="fr-FR"/>
        </w:rPr>
        <w:t> pour intégrer les nouvelles durées identifiées ;</w:t>
      </w:r>
    </w:p>
    <w:p w:rsidR="00652395" w:rsidRPr="00187EA0" w:rsidRDefault="00652395" w:rsidP="00D02D49">
      <w:pPr>
        <w:numPr>
          <w:ilvl w:val="0"/>
          <w:numId w:val="19"/>
        </w:numPr>
        <w:shd w:val="clear" w:color="auto" w:fill="FFFFFF"/>
        <w:spacing w:after="0" w:line="240" w:lineRule="auto"/>
        <w:ind w:left="0"/>
        <w:jc w:val="both"/>
        <w:rPr>
          <w:rFonts w:asciiTheme="majorHAnsi" w:eastAsia="Times New Roman" w:hAnsiTheme="majorHAnsi" w:cstheme="majorHAnsi"/>
          <w:sz w:val="27"/>
          <w:szCs w:val="27"/>
          <w:lang w:eastAsia="fr-FR"/>
        </w:rPr>
      </w:pPr>
      <w:proofErr w:type="gramStart"/>
      <w:r w:rsidRPr="00187EA0">
        <w:rPr>
          <w:rFonts w:asciiTheme="majorHAnsi" w:eastAsia="Times New Roman" w:hAnsiTheme="majorHAnsi" w:cstheme="majorHAnsi"/>
          <w:b/>
          <w:bCs/>
          <w:sz w:val="27"/>
          <w:szCs w:val="27"/>
          <w:lang w:eastAsia="fr-FR"/>
        </w:rPr>
        <w:t>de</w:t>
      </w:r>
      <w:proofErr w:type="gramEnd"/>
      <w:r w:rsidRPr="00187EA0">
        <w:rPr>
          <w:rFonts w:asciiTheme="majorHAnsi" w:eastAsia="Times New Roman" w:hAnsiTheme="majorHAnsi" w:cstheme="majorHAnsi"/>
          <w:b/>
          <w:bCs/>
          <w:sz w:val="27"/>
          <w:szCs w:val="27"/>
          <w:lang w:eastAsia="fr-FR"/>
        </w:rPr>
        <w:t xml:space="preserve"> mettre en place les bonnes conditions pour archiver</w:t>
      </w:r>
      <w:r w:rsidRPr="00187EA0">
        <w:rPr>
          <w:rFonts w:asciiTheme="majorHAnsi" w:eastAsia="Times New Roman" w:hAnsiTheme="majorHAnsi" w:cstheme="majorHAnsi"/>
          <w:sz w:val="27"/>
          <w:szCs w:val="27"/>
          <w:lang w:eastAsia="fr-FR"/>
        </w:rPr>
        <w:t> les données ;</w:t>
      </w:r>
    </w:p>
    <w:p w:rsidR="00652395" w:rsidRPr="00187EA0" w:rsidRDefault="00652395" w:rsidP="00D02D49">
      <w:pPr>
        <w:numPr>
          <w:ilvl w:val="0"/>
          <w:numId w:val="19"/>
        </w:numPr>
        <w:shd w:val="clear" w:color="auto" w:fill="FFFFFF"/>
        <w:spacing w:after="0" w:line="240" w:lineRule="auto"/>
        <w:ind w:left="0"/>
        <w:jc w:val="both"/>
        <w:rPr>
          <w:rFonts w:asciiTheme="majorHAnsi" w:eastAsia="Times New Roman" w:hAnsiTheme="majorHAnsi" w:cstheme="majorHAnsi"/>
          <w:sz w:val="27"/>
          <w:szCs w:val="27"/>
          <w:lang w:eastAsia="fr-FR"/>
        </w:rPr>
      </w:pPr>
      <w:proofErr w:type="gramStart"/>
      <w:r w:rsidRPr="00187EA0">
        <w:rPr>
          <w:rFonts w:asciiTheme="majorHAnsi" w:eastAsia="Times New Roman" w:hAnsiTheme="majorHAnsi" w:cstheme="majorHAnsi"/>
          <w:b/>
          <w:bCs/>
          <w:sz w:val="27"/>
          <w:szCs w:val="27"/>
          <w:lang w:eastAsia="fr-FR"/>
        </w:rPr>
        <w:t>d’effectuer</w:t>
      </w:r>
      <w:proofErr w:type="gramEnd"/>
      <w:r w:rsidRPr="00187EA0">
        <w:rPr>
          <w:rFonts w:asciiTheme="majorHAnsi" w:eastAsia="Times New Roman" w:hAnsiTheme="majorHAnsi" w:cstheme="majorHAnsi"/>
          <w:b/>
          <w:bCs/>
          <w:sz w:val="27"/>
          <w:szCs w:val="27"/>
          <w:lang w:eastAsia="fr-FR"/>
        </w:rPr>
        <w:t xml:space="preserve"> un tri</w:t>
      </w:r>
      <w:r w:rsidRPr="00187EA0">
        <w:rPr>
          <w:rFonts w:asciiTheme="majorHAnsi" w:eastAsia="Times New Roman" w:hAnsiTheme="majorHAnsi" w:cstheme="majorHAnsi"/>
          <w:sz w:val="27"/>
          <w:szCs w:val="27"/>
          <w:lang w:eastAsia="fr-FR"/>
        </w:rPr>
        <w:t> avant d’archiver les données, afin de conserver uniquement celles nécessaires, à savoir les données qui permettent de satisfaire l’objectif poursuivi par l’archivage ;</w:t>
      </w:r>
    </w:p>
    <w:p w:rsidR="00652395" w:rsidRPr="00187EA0" w:rsidRDefault="00652395" w:rsidP="00D02D49">
      <w:pPr>
        <w:numPr>
          <w:ilvl w:val="0"/>
          <w:numId w:val="19"/>
        </w:numPr>
        <w:shd w:val="clear" w:color="auto" w:fill="FFFFFF"/>
        <w:spacing w:after="0" w:line="240" w:lineRule="auto"/>
        <w:ind w:left="0"/>
        <w:jc w:val="both"/>
        <w:rPr>
          <w:rFonts w:asciiTheme="majorHAnsi" w:eastAsia="Times New Roman" w:hAnsiTheme="majorHAnsi" w:cstheme="majorHAnsi"/>
          <w:sz w:val="27"/>
          <w:szCs w:val="27"/>
          <w:lang w:eastAsia="fr-FR"/>
        </w:rPr>
      </w:pPr>
      <w:proofErr w:type="gramStart"/>
      <w:r w:rsidRPr="00187EA0">
        <w:rPr>
          <w:rFonts w:asciiTheme="majorHAnsi" w:eastAsia="Times New Roman" w:hAnsiTheme="majorHAnsi" w:cstheme="majorHAnsi"/>
          <w:b/>
          <w:bCs/>
          <w:sz w:val="27"/>
          <w:szCs w:val="27"/>
          <w:lang w:eastAsia="fr-FR"/>
        </w:rPr>
        <w:t>d’identifier</w:t>
      </w:r>
      <w:proofErr w:type="gramEnd"/>
      <w:r w:rsidRPr="00187EA0">
        <w:rPr>
          <w:rFonts w:asciiTheme="majorHAnsi" w:eastAsia="Times New Roman" w:hAnsiTheme="majorHAnsi" w:cstheme="majorHAnsi"/>
          <w:b/>
          <w:bCs/>
          <w:sz w:val="27"/>
          <w:szCs w:val="27"/>
          <w:lang w:eastAsia="fr-FR"/>
        </w:rPr>
        <w:t xml:space="preserve"> la solution appropriée pour réaliser une séparation entre les dossiers actifs et les données archivées</w:t>
      </w:r>
      <w:r w:rsidRPr="00187EA0">
        <w:rPr>
          <w:rFonts w:asciiTheme="majorHAnsi" w:eastAsia="Times New Roman" w:hAnsiTheme="majorHAnsi" w:cstheme="majorHAnsi"/>
          <w:sz w:val="27"/>
          <w:szCs w:val="27"/>
          <w:lang w:eastAsia="fr-FR"/>
        </w:rPr>
        <w:t> (séparation physique ou logique) ;</w:t>
      </w: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b/>
          <w:bCs/>
          <w:sz w:val="27"/>
          <w:szCs w:val="27"/>
          <w:lang w:eastAsia="fr-FR"/>
        </w:rPr>
        <w:t>En cas d’archivage définitif</w:t>
      </w:r>
      <w:r w:rsidRPr="00187EA0">
        <w:rPr>
          <w:rFonts w:asciiTheme="majorHAnsi" w:eastAsia="Times New Roman" w:hAnsiTheme="majorHAnsi" w:cstheme="majorHAnsi"/>
          <w:sz w:val="27"/>
          <w:szCs w:val="27"/>
          <w:lang w:eastAsia="fr-FR"/>
        </w:rPr>
        <w:t> : se rapprocher de son service d’archives interne et des archives départementales. Ces derniers détermineront le sort final des archives publiques (destruction ou versement aux archives départementales).</w:t>
      </w: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b/>
          <w:bCs/>
          <w:sz w:val="27"/>
          <w:szCs w:val="27"/>
          <w:lang w:eastAsia="fr-FR"/>
        </w:rPr>
        <w:t>Attention</w:t>
      </w:r>
    </w:p>
    <w:p w:rsidR="00652395" w:rsidRPr="00187EA0" w:rsidRDefault="00652395"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sz w:val="27"/>
          <w:szCs w:val="27"/>
          <w:lang w:eastAsia="fr-FR"/>
        </w:rPr>
        <w:t>Pour pouvoir supprimer définitivement des données « papier » ayant fait l’objet d’une numérisation et conserver uniquement les données numérisées, le système de gestion électronique des documents doit répondre à certaines normes et certifications.</w:t>
      </w:r>
    </w:p>
    <w:p w:rsidR="00652395" w:rsidRPr="00187EA0" w:rsidRDefault="00652395" w:rsidP="00D02D49">
      <w:pPr>
        <w:numPr>
          <w:ilvl w:val="0"/>
          <w:numId w:val="20"/>
        </w:numPr>
        <w:shd w:val="clear" w:color="auto" w:fill="FFFFFF"/>
        <w:spacing w:after="0" w:line="240" w:lineRule="auto"/>
        <w:ind w:left="0"/>
        <w:jc w:val="both"/>
        <w:rPr>
          <w:rFonts w:asciiTheme="majorHAnsi" w:eastAsia="Times New Roman" w:hAnsiTheme="majorHAnsi" w:cstheme="majorHAnsi"/>
          <w:sz w:val="27"/>
          <w:szCs w:val="27"/>
          <w:lang w:eastAsia="fr-FR"/>
        </w:rPr>
      </w:pPr>
      <w:proofErr w:type="gramStart"/>
      <w:r w:rsidRPr="00187EA0">
        <w:rPr>
          <w:rFonts w:asciiTheme="majorHAnsi" w:eastAsia="Times New Roman" w:hAnsiTheme="majorHAnsi" w:cstheme="majorHAnsi"/>
          <w:b/>
          <w:bCs/>
          <w:sz w:val="27"/>
          <w:szCs w:val="27"/>
          <w:lang w:eastAsia="fr-FR"/>
        </w:rPr>
        <w:t>prévoir</w:t>
      </w:r>
      <w:proofErr w:type="gramEnd"/>
      <w:r w:rsidRPr="00187EA0">
        <w:rPr>
          <w:rFonts w:asciiTheme="majorHAnsi" w:eastAsia="Times New Roman" w:hAnsiTheme="majorHAnsi" w:cstheme="majorHAnsi"/>
          <w:b/>
          <w:bCs/>
          <w:sz w:val="27"/>
          <w:szCs w:val="27"/>
          <w:lang w:eastAsia="fr-FR"/>
        </w:rPr>
        <w:t xml:space="preserve"> les mesures de sécurité adéquates</w:t>
      </w:r>
      <w:r w:rsidRPr="00187EA0">
        <w:rPr>
          <w:rFonts w:asciiTheme="majorHAnsi" w:eastAsia="Times New Roman" w:hAnsiTheme="majorHAnsi" w:cstheme="majorHAnsi"/>
          <w:sz w:val="27"/>
          <w:szCs w:val="27"/>
          <w:lang w:eastAsia="fr-FR"/>
        </w:rPr>
        <w:t>, qu’il s’agisse de fichiers papiers ou numériques (habilitation des agents, traçabilité des accès aux données archivées, etc.) ;</w:t>
      </w:r>
    </w:p>
    <w:p w:rsidR="00652395" w:rsidRPr="00187EA0" w:rsidRDefault="00652395" w:rsidP="00D02D49">
      <w:pPr>
        <w:numPr>
          <w:ilvl w:val="0"/>
          <w:numId w:val="20"/>
        </w:numPr>
        <w:shd w:val="clear" w:color="auto" w:fill="FFFFFF"/>
        <w:spacing w:after="0" w:line="240" w:lineRule="auto"/>
        <w:ind w:left="0"/>
        <w:jc w:val="both"/>
        <w:rPr>
          <w:rFonts w:asciiTheme="majorHAnsi" w:eastAsia="Times New Roman" w:hAnsiTheme="majorHAnsi" w:cstheme="majorHAnsi"/>
          <w:sz w:val="27"/>
          <w:szCs w:val="27"/>
          <w:lang w:eastAsia="fr-FR"/>
        </w:rPr>
      </w:pPr>
      <w:proofErr w:type="gramStart"/>
      <w:r w:rsidRPr="00187EA0">
        <w:rPr>
          <w:rFonts w:asciiTheme="majorHAnsi" w:eastAsia="Times New Roman" w:hAnsiTheme="majorHAnsi" w:cstheme="majorHAnsi"/>
          <w:b/>
          <w:bCs/>
          <w:sz w:val="27"/>
          <w:szCs w:val="27"/>
          <w:lang w:eastAsia="fr-FR"/>
        </w:rPr>
        <w:lastRenderedPageBreak/>
        <w:t>identifier</w:t>
      </w:r>
      <w:proofErr w:type="gramEnd"/>
      <w:r w:rsidRPr="00187EA0">
        <w:rPr>
          <w:rFonts w:asciiTheme="majorHAnsi" w:eastAsia="Times New Roman" w:hAnsiTheme="majorHAnsi" w:cstheme="majorHAnsi"/>
          <w:b/>
          <w:bCs/>
          <w:sz w:val="27"/>
          <w:szCs w:val="27"/>
          <w:lang w:eastAsia="fr-FR"/>
        </w:rPr>
        <w:t xml:space="preserve"> les agents</w:t>
      </w:r>
      <w:r w:rsidRPr="00187EA0">
        <w:rPr>
          <w:rFonts w:asciiTheme="majorHAnsi" w:eastAsia="Times New Roman" w:hAnsiTheme="majorHAnsi" w:cstheme="majorHAnsi"/>
          <w:sz w:val="27"/>
          <w:szCs w:val="27"/>
          <w:lang w:eastAsia="fr-FR"/>
        </w:rPr>
        <w:t> qui auront besoin de traiter les données des dossiers en cours, et celles en cas d’archivage.</w:t>
      </w:r>
    </w:p>
    <w:p w:rsidR="00652395" w:rsidRPr="00187EA0" w:rsidRDefault="00652395" w:rsidP="00D02D49">
      <w:pPr>
        <w:spacing w:before="240" w:after="240" w:line="240" w:lineRule="auto"/>
        <w:jc w:val="both"/>
        <w:rPr>
          <w:rFonts w:asciiTheme="majorHAnsi" w:eastAsia="Times New Roman" w:hAnsiTheme="majorHAnsi" w:cstheme="majorHAnsi"/>
          <w:sz w:val="24"/>
          <w:szCs w:val="24"/>
          <w:lang w:eastAsia="fr-FR"/>
        </w:rPr>
      </w:pPr>
    </w:p>
    <w:p w:rsidR="00652395" w:rsidRPr="00187EA0" w:rsidRDefault="00652395" w:rsidP="00D02D49">
      <w:pPr>
        <w:spacing w:before="100" w:beforeAutospacing="1" w:after="100" w:afterAutospacing="1" w:line="240" w:lineRule="auto"/>
        <w:jc w:val="both"/>
        <w:outlineLvl w:val="1"/>
        <w:rPr>
          <w:rFonts w:asciiTheme="majorHAnsi" w:eastAsia="Times New Roman" w:hAnsiTheme="majorHAnsi" w:cstheme="majorHAnsi"/>
          <w:sz w:val="44"/>
          <w:szCs w:val="44"/>
          <w:lang w:eastAsia="fr-FR"/>
        </w:rPr>
      </w:pPr>
      <w:r w:rsidRPr="00187EA0">
        <w:rPr>
          <w:rFonts w:asciiTheme="majorHAnsi" w:eastAsia="Times New Roman" w:hAnsiTheme="majorHAnsi" w:cstheme="majorHAnsi"/>
          <w:sz w:val="44"/>
          <w:szCs w:val="44"/>
          <w:lang w:eastAsia="fr-FR"/>
        </w:rPr>
        <w:t>Exemples de durées de conservation</w:t>
      </w:r>
    </w:p>
    <w:p w:rsidR="00652395" w:rsidRPr="00187EA0" w:rsidRDefault="00652395" w:rsidP="00D02D49">
      <w:pPr>
        <w:spacing w:before="240" w:after="240"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Afin d'aiguiller les professionnels, le référentiel présente, pour les traitements les plus fréquents dans le secteur social et médico-social, les durées de conservation pertinentes.</w:t>
      </w:r>
    </w:p>
    <w:p w:rsidR="00652395" w:rsidRPr="00187EA0" w:rsidRDefault="00652395" w:rsidP="00D02D49">
      <w:pPr>
        <w:spacing w:before="240" w:after="240"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Par exemple, les dossiers des personnes et familles accueillies dans les centres d'hébergement et de réinsertion sociale (</w:t>
      </w:r>
      <w:proofErr w:type="spellStart"/>
      <w:r w:rsidRPr="00187EA0">
        <w:rPr>
          <w:rFonts w:asciiTheme="majorHAnsi" w:eastAsia="Times New Roman" w:hAnsiTheme="majorHAnsi" w:cstheme="majorHAnsi"/>
          <w:sz w:val="24"/>
          <w:szCs w:val="24"/>
          <w:lang w:eastAsia="fr-FR"/>
        </w:rPr>
        <w:t>CHRS</w:t>
      </w:r>
      <w:proofErr w:type="spellEnd"/>
      <w:r w:rsidRPr="00187EA0">
        <w:rPr>
          <w:rFonts w:asciiTheme="majorHAnsi" w:eastAsia="Times New Roman" w:hAnsiTheme="majorHAnsi" w:cstheme="majorHAnsi"/>
          <w:sz w:val="24"/>
          <w:szCs w:val="24"/>
          <w:lang w:eastAsia="fr-FR"/>
        </w:rPr>
        <w:t>) et les centres d’accueil pour demandeurs d’asile (</w:t>
      </w:r>
      <w:proofErr w:type="spellStart"/>
      <w:r w:rsidRPr="00187EA0">
        <w:rPr>
          <w:rFonts w:asciiTheme="majorHAnsi" w:eastAsia="Times New Roman" w:hAnsiTheme="majorHAnsi" w:cstheme="majorHAnsi"/>
          <w:sz w:val="24"/>
          <w:szCs w:val="24"/>
          <w:lang w:eastAsia="fr-FR"/>
        </w:rPr>
        <w:t>Cada</w:t>
      </w:r>
      <w:proofErr w:type="spellEnd"/>
      <w:r w:rsidRPr="00187EA0">
        <w:rPr>
          <w:rFonts w:asciiTheme="majorHAnsi" w:eastAsia="Times New Roman" w:hAnsiTheme="majorHAnsi" w:cstheme="majorHAnsi"/>
          <w:sz w:val="24"/>
          <w:szCs w:val="24"/>
          <w:lang w:eastAsia="fr-FR"/>
        </w:rPr>
        <w:t>) doivent être conservés en </w:t>
      </w:r>
      <w:r w:rsidRPr="00187EA0">
        <w:rPr>
          <w:rFonts w:asciiTheme="majorHAnsi" w:eastAsia="Times New Roman" w:hAnsiTheme="majorHAnsi" w:cstheme="majorHAnsi"/>
          <w:i/>
          <w:iCs/>
          <w:sz w:val="24"/>
          <w:szCs w:val="24"/>
          <w:lang w:eastAsia="fr-FR"/>
        </w:rPr>
        <w:t>« base active »</w:t>
      </w:r>
      <w:r w:rsidRPr="00187EA0">
        <w:rPr>
          <w:rFonts w:asciiTheme="majorHAnsi" w:eastAsia="Times New Roman" w:hAnsiTheme="majorHAnsi" w:cstheme="majorHAnsi"/>
          <w:sz w:val="24"/>
          <w:szCs w:val="24"/>
          <w:lang w:eastAsia="fr-FR"/>
        </w:rPr>
        <w:t> deux années civiles après la sortie de la personne accueillie.</w:t>
      </w:r>
    </w:p>
    <w:p w:rsidR="00652395" w:rsidRPr="00187EA0" w:rsidRDefault="00652395" w:rsidP="00D02D49">
      <w:pPr>
        <w:spacing w:before="240" w:after="240"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Les informations recueillies dans le cadre de l’évaluation de la situation de minorité d'un jeune étranger par les services de l'aide sociale à l'enfance (ASE) des départements sont à conserver le temps de l’évaluation. Lorsque l'intéressé n'est pas considéré comme mineur non accompagné (</w:t>
      </w:r>
      <w:proofErr w:type="spellStart"/>
      <w:r w:rsidRPr="00187EA0">
        <w:rPr>
          <w:rFonts w:asciiTheme="majorHAnsi" w:eastAsia="Times New Roman" w:hAnsiTheme="majorHAnsi" w:cstheme="majorHAnsi"/>
          <w:sz w:val="24"/>
          <w:szCs w:val="24"/>
          <w:lang w:eastAsia="fr-FR"/>
        </w:rPr>
        <w:t>MNA</w:t>
      </w:r>
      <w:proofErr w:type="spellEnd"/>
      <w:r w:rsidRPr="00187EA0">
        <w:rPr>
          <w:rFonts w:asciiTheme="majorHAnsi" w:eastAsia="Times New Roman" w:hAnsiTheme="majorHAnsi" w:cstheme="majorHAnsi"/>
          <w:sz w:val="24"/>
          <w:szCs w:val="24"/>
          <w:lang w:eastAsia="fr-FR"/>
        </w:rPr>
        <w:t>), les données doivent être gardées </w:t>
      </w:r>
      <w:r w:rsidRPr="00187EA0">
        <w:rPr>
          <w:rFonts w:asciiTheme="majorHAnsi" w:eastAsia="Times New Roman" w:hAnsiTheme="majorHAnsi" w:cstheme="majorHAnsi"/>
          <w:i/>
          <w:iCs/>
          <w:sz w:val="24"/>
          <w:szCs w:val="24"/>
          <w:lang w:eastAsia="fr-FR"/>
        </w:rPr>
        <w:t>« jusqu’à l’extinction des voies de recours ordinaires et extraordinaires »</w:t>
      </w:r>
      <w:r w:rsidRPr="00187EA0">
        <w:rPr>
          <w:rFonts w:asciiTheme="majorHAnsi" w:eastAsia="Times New Roman" w:hAnsiTheme="majorHAnsi" w:cstheme="majorHAnsi"/>
          <w:sz w:val="24"/>
          <w:szCs w:val="24"/>
          <w:lang w:eastAsia="fr-FR"/>
        </w:rPr>
        <w:t>, dans la </w:t>
      </w:r>
      <w:r w:rsidRPr="00187EA0">
        <w:rPr>
          <w:rFonts w:asciiTheme="majorHAnsi" w:eastAsia="Times New Roman" w:hAnsiTheme="majorHAnsi" w:cstheme="majorHAnsi"/>
          <w:i/>
          <w:iCs/>
          <w:sz w:val="24"/>
          <w:szCs w:val="24"/>
          <w:lang w:eastAsia="fr-FR"/>
        </w:rPr>
        <w:t>« base intermédiaire »</w:t>
      </w:r>
      <w:r w:rsidRPr="00187EA0">
        <w:rPr>
          <w:rFonts w:asciiTheme="majorHAnsi" w:eastAsia="Times New Roman" w:hAnsiTheme="majorHAnsi" w:cstheme="majorHAnsi"/>
          <w:sz w:val="24"/>
          <w:szCs w:val="24"/>
          <w:lang w:eastAsia="fr-FR"/>
        </w:rPr>
        <w:t>.</w:t>
      </w:r>
    </w:p>
    <w:p w:rsidR="00652395" w:rsidRPr="00187EA0" w:rsidRDefault="00652395" w:rsidP="00D02D49">
      <w:pPr>
        <w:spacing w:before="240" w:after="240"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Autre illustration : les données concernant l'accompagnement des bénéficiaires du revenu de solidarité active (</w:t>
      </w:r>
      <w:proofErr w:type="spellStart"/>
      <w:r w:rsidRPr="00187EA0">
        <w:rPr>
          <w:rFonts w:asciiTheme="majorHAnsi" w:eastAsia="Times New Roman" w:hAnsiTheme="majorHAnsi" w:cstheme="majorHAnsi"/>
          <w:sz w:val="24"/>
          <w:szCs w:val="24"/>
          <w:lang w:eastAsia="fr-FR"/>
        </w:rPr>
        <w:t>RSA</w:t>
      </w:r>
      <w:proofErr w:type="spellEnd"/>
      <w:r w:rsidRPr="00187EA0">
        <w:rPr>
          <w:rFonts w:asciiTheme="majorHAnsi" w:eastAsia="Times New Roman" w:hAnsiTheme="majorHAnsi" w:cstheme="majorHAnsi"/>
          <w:sz w:val="24"/>
          <w:szCs w:val="24"/>
          <w:lang w:eastAsia="fr-FR"/>
        </w:rPr>
        <w:t>) sont à conserver pendant deux ans à compter du dernier contact avec l'intéressé.</w:t>
      </w:r>
    </w:p>
    <w:p w:rsidR="00652395" w:rsidRDefault="00652395" w:rsidP="00D02D49">
      <w:pPr>
        <w:spacing w:after="120"/>
        <w:jc w:val="both"/>
        <w:rPr>
          <w:rFonts w:asciiTheme="majorHAnsi" w:hAnsiTheme="majorHAnsi" w:cstheme="majorHAnsi"/>
        </w:rPr>
      </w:pPr>
    </w:p>
    <w:p w:rsidR="00187EA0" w:rsidRDefault="00187EA0" w:rsidP="00D02D49">
      <w:pPr>
        <w:spacing w:after="120"/>
        <w:jc w:val="both"/>
        <w:rPr>
          <w:rFonts w:asciiTheme="majorHAnsi" w:hAnsiTheme="majorHAnsi" w:cstheme="majorHAnsi"/>
        </w:rPr>
      </w:pPr>
      <w:r w:rsidRPr="00187EA0">
        <w:rPr>
          <w:rFonts w:asciiTheme="majorHAnsi" w:eastAsia="Times New Roman" w:hAnsiTheme="majorHAnsi" w:cstheme="majorHAnsi"/>
          <w:noProof/>
          <w:sz w:val="27"/>
          <w:szCs w:val="27"/>
          <w:lang w:eastAsia="fr-FR"/>
        </w:rPr>
        <w:lastRenderedPageBreak/>
        <w:drawing>
          <wp:inline distT="0" distB="0" distL="0" distR="0" wp14:anchorId="5F5640DA" wp14:editId="0B02CCD5">
            <wp:extent cx="5760720" cy="8145573"/>
            <wp:effectExtent l="0" t="0" r="0" b="8255"/>
            <wp:docPr id="6" name="Image 6" descr="https://www.cnil.fr/sites/cnil/files/2023-11/schema_durees_de_conservation_archivages.png">
              <a:hlinkClick xmlns:a="http://schemas.openxmlformats.org/drawingml/2006/main" r:id="rId24" tgtFrame="&quot;_blank&quot;" tooltip="&quot;Schema - Durées de conservation - Archivages (PDF, 116 ko) - Nouvelle fenêt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nil.fr/sites/cnil/files/2023-11/schema_durees_de_conservation_archivages.png">
                      <a:hlinkClick r:id="rId24" tgtFrame="&quot;_blank&quot;" tooltip="&quot;Schema - Durées de conservation - Archivages (PDF, 116 ko) - Nouvelle fenêtre&quo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8145573"/>
                    </a:xfrm>
                    <a:prstGeom prst="rect">
                      <a:avLst/>
                    </a:prstGeom>
                    <a:noFill/>
                    <a:ln>
                      <a:noFill/>
                    </a:ln>
                  </pic:spPr>
                </pic:pic>
              </a:graphicData>
            </a:graphic>
          </wp:inline>
        </w:drawing>
      </w:r>
      <w:bookmarkStart w:id="0" w:name="_GoBack"/>
      <w:bookmarkEnd w:id="0"/>
    </w:p>
    <w:p w:rsidR="00187EA0" w:rsidRDefault="00187EA0" w:rsidP="00D02D49">
      <w:pPr>
        <w:spacing w:after="120"/>
        <w:jc w:val="both"/>
        <w:rPr>
          <w:rFonts w:asciiTheme="majorHAnsi" w:hAnsiTheme="majorHAnsi" w:cstheme="majorHAnsi"/>
        </w:rPr>
      </w:pPr>
    </w:p>
    <w:p w:rsidR="00187EA0" w:rsidRPr="00187EA0" w:rsidRDefault="00187EA0" w:rsidP="00D02D49">
      <w:pPr>
        <w:spacing w:after="120"/>
        <w:jc w:val="both"/>
        <w:rPr>
          <w:rFonts w:asciiTheme="majorHAnsi" w:hAnsiTheme="majorHAnsi" w:cstheme="majorHAnsi"/>
        </w:rPr>
      </w:pPr>
    </w:p>
    <w:p w:rsidR="004A0D58" w:rsidRPr="00187EA0" w:rsidRDefault="004A0D58" w:rsidP="00D02D49">
      <w:pPr>
        <w:shd w:val="clear" w:color="auto" w:fill="FFFFFF"/>
        <w:spacing w:before="211" w:after="211" w:line="240" w:lineRule="auto"/>
        <w:jc w:val="both"/>
        <w:outlineLvl w:val="1"/>
        <w:rPr>
          <w:rFonts w:asciiTheme="majorHAnsi" w:eastAsia="Times New Roman" w:hAnsiTheme="majorHAnsi" w:cstheme="majorHAnsi"/>
          <w:b/>
          <w:bCs/>
          <w:sz w:val="36"/>
          <w:szCs w:val="36"/>
          <w:lang w:eastAsia="fr-FR"/>
        </w:rPr>
      </w:pPr>
      <w:r w:rsidRPr="00187EA0">
        <w:rPr>
          <w:rFonts w:asciiTheme="majorHAnsi" w:eastAsia="Times New Roman" w:hAnsiTheme="majorHAnsi" w:cstheme="majorHAnsi"/>
          <w:b/>
          <w:bCs/>
          <w:sz w:val="36"/>
          <w:szCs w:val="36"/>
          <w:lang w:eastAsia="fr-FR"/>
        </w:rPr>
        <w:lastRenderedPageBreak/>
        <w:t>Étape n° 5 : assurer la continuité des procédures en interne</w:t>
      </w:r>
    </w:p>
    <w:p w:rsidR="00187EA0" w:rsidRDefault="00187EA0">
      <w:pPr>
        <w:rPr>
          <w:rFonts w:asciiTheme="majorHAnsi" w:eastAsia="Times New Roman" w:hAnsiTheme="majorHAnsi" w:cstheme="majorHAnsi"/>
          <w:sz w:val="27"/>
          <w:szCs w:val="27"/>
          <w:lang w:eastAsia="fr-FR"/>
        </w:rPr>
      </w:pPr>
      <w:r>
        <w:rPr>
          <w:rFonts w:asciiTheme="majorHAnsi" w:eastAsia="Times New Roman" w:hAnsiTheme="majorHAnsi" w:cstheme="majorHAnsi"/>
          <w:sz w:val="27"/>
          <w:szCs w:val="27"/>
          <w:lang w:eastAsia="fr-FR"/>
        </w:rPr>
        <w:br w:type="page"/>
      </w:r>
    </w:p>
    <w:p w:rsidR="00187EA0" w:rsidRPr="00187EA0" w:rsidRDefault="00187EA0" w:rsidP="00187EA0">
      <w:pPr>
        <w:pStyle w:val="Paragraphedeliste"/>
        <w:numPr>
          <w:ilvl w:val="0"/>
          <w:numId w:val="2"/>
        </w:numPr>
        <w:spacing w:before="100" w:beforeAutospacing="1" w:after="100" w:afterAutospacing="1" w:line="240" w:lineRule="auto"/>
        <w:jc w:val="both"/>
        <w:outlineLvl w:val="1"/>
        <w:rPr>
          <w:rFonts w:asciiTheme="majorHAnsi" w:eastAsia="Times New Roman" w:hAnsiTheme="majorHAnsi" w:cstheme="majorHAnsi"/>
          <w:sz w:val="44"/>
          <w:szCs w:val="44"/>
          <w:lang w:eastAsia="fr-FR"/>
        </w:rPr>
      </w:pPr>
      <w:r w:rsidRPr="00187EA0">
        <w:rPr>
          <w:rFonts w:asciiTheme="majorHAnsi" w:eastAsia="Times New Roman" w:hAnsiTheme="majorHAnsi" w:cstheme="majorHAnsi"/>
          <w:sz w:val="44"/>
          <w:szCs w:val="44"/>
          <w:lang w:eastAsia="fr-FR"/>
        </w:rPr>
        <w:lastRenderedPageBreak/>
        <w:t>Référentiels</w:t>
      </w:r>
    </w:p>
    <w:p w:rsidR="00187EA0" w:rsidRPr="00187EA0" w:rsidRDefault="00187EA0" w:rsidP="00187EA0">
      <w:pPr>
        <w:spacing w:before="240" w:after="240" w:line="240" w:lineRule="auto"/>
        <w:jc w:val="both"/>
        <w:rPr>
          <w:rFonts w:asciiTheme="majorHAnsi" w:eastAsia="Times New Roman" w:hAnsiTheme="majorHAnsi" w:cstheme="majorHAnsi"/>
          <w:sz w:val="24"/>
          <w:szCs w:val="24"/>
          <w:lang w:eastAsia="fr-FR"/>
        </w:rPr>
      </w:pPr>
    </w:p>
    <w:p w:rsidR="00187EA0" w:rsidRPr="00187EA0" w:rsidRDefault="00187EA0" w:rsidP="00187EA0">
      <w:pPr>
        <w:spacing w:before="240" w:after="240"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Destiné en particulier aux responsables des traitements au sein des départements, des structures sociales et médico-sociales ou encore des organismes débiteurs de prestations (CAF…), le référentiel constitue </w:t>
      </w:r>
      <w:r w:rsidRPr="00187EA0">
        <w:rPr>
          <w:rFonts w:asciiTheme="majorHAnsi" w:eastAsia="Times New Roman" w:hAnsiTheme="majorHAnsi" w:cstheme="majorHAnsi"/>
          <w:i/>
          <w:iCs/>
          <w:sz w:val="24"/>
          <w:szCs w:val="24"/>
          <w:lang w:eastAsia="fr-FR"/>
        </w:rPr>
        <w:t>« une aide à la prise de décision »</w:t>
      </w:r>
      <w:r w:rsidRPr="00187EA0">
        <w:rPr>
          <w:rFonts w:asciiTheme="majorHAnsi" w:eastAsia="Times New Roman" w:hAnsiTheme="majorHAnsi" w:cstheme="majorHAnsi"/>
          <w:sz w:val="24"/>
          <w:szCs w:val="24"/>
          <w:lang w:eastAsia="fr-FR"/>
        </w:rPr>
        <w:t>.</w:t>
      </w:r>
    </w:p>
    <w:p w:rsidR="00187EA0" w:rsidRPr="00187EA0" w:rsidRDefault="00187EA0" w:rsidP="00187EA0">
      <w:pPr>
        <w:spacing w:before="240" w:after="240" w:line="240" w:lineRule="auto"/>
        <w:jc w:val="both"/>
        <w:rPr>
          <w:rFonts w:asciiTheme="majorHAnsi" w:eastAsia="Times New Roman" w:hAnsiTheme="majorHAnsi" w:cstheme="majorHAnsi"/>
          <w:sz w:val="24"/>
          <w:szCs w:val="24"/>
          <w:lang w:eastAsia="fr-FR"/>
        </w:rPr>
      </w:pPr>
      <w:r w:rsidRPr="00187EA0">
        <w:rPr>
          <w:rFonts w:asciiTheme="majorHAnsi" w:eastAsia="Times New Roman" w:hAnsiTheme="majorHAnsi" w:cstheme="majorHAnsi"/>
          <w:sz w:val="24"/>
          <w:szCs w:val="24"/>
          <w:lang w:eastAsia="fr-FR"/>
        </w:rPr>
        <w:t>Ce document a vocation à les orienter vers :</w:t>
      </w:r>
    </w:p>
    <w:p w:rsidR="00187EA0" w:rsidRPr="00187EA0" w:rsidRDefault="00187EA0" w:rsidP="00187EA0">
      <w:pPr>
        <w:numPr>
          <w:ilvl w:val="0"/>
          <w:numId w:val="1"/>
        </w:numPr>
        <w:spacing w:before="100" w:beforeAutospacing="1" w:after="100" w:afterAutospacing="1" w:line="240" w:lineRule="auto"/>
        <w:ind w:left="240"/>
        <w:jc w:val="both"/>
        <w:rPr>
          <w:rFonts w:asciiTheme="majorHAnsi" w:eastAsia="Times New Roman" w:hAnsiTheme="majorHAnsi" w:cstheme="majorHAnsi"/>
          <w:sz w:val="24"/>
          <w:szCs w:val="24"/>
          <w:lang w:eastAsia="fr-FR"/>
        </w:rPr>
      </w:pPr>
      <w:proofErr w:type="gramStart"/>
      <w:r w:rsidRPr="00187EA0">
        <w:rPr>
          <w:rFonts w:asciiTheme="majorHAnsi" w:eastAsia="Times New Roman" w:hAnsiTheme="majorHAnsi" w:cstheme="majorHAnsi"/>
          <w:sz w:val="24"/>
          <w:szCs w:val="24"/>
          <w:lang w:eastAsia="fr-FR"/>
        </w:rPr>
        <w:t>les</w:t>
      </w:r>
      <w:proofErr w:type="gramEnd"/>
      <w:r w:rsidRPr="00187EA0">
        <w:rPr>
          <w:rFonts w:asciiTheme="majorHAnsi" w:eastAsia="Times New Roman" w:hAnsiTheme="majorHAnsi" w:cstheme="majorHAnsi"/>
          <w:sz w:val="24"/>
          <w:szCs w:val="24"/>
          <w:lang w:eastAsia="fr-FR"/>
        </w:rPr>
        <w:t xml:space="preserve"> durées obligatoires du fait de la réglementation en vigueur (notamment celle prévue par le code de l’action sociale et des familles) ;</w:t>
      </w:r>
    </w:p>
    <w:p w:rsidR="00187EA0" w:rsidRPr="00187EA0" w:rsidRDefault="00187EA0" w:rsidP="00187EA0">
      <w:pPr>
        <w:numPr>
          <w:ilvl w:val="0"/>
          <w:numId w:val="1"/>
        </w:numPr>
        <w:spacing w:before="100" w:beforeAutospacing="1" w:after="100" w:afterAutospacing="1" w:line="240" w:lineRule="auto"/>
        <w:ind w:left="240"/>
        <w:jc w:val="both"/>
        <w:rPr>
          <w:rFonts w:asciiTheme="majorHAnsi" w:eastAsia="Times New Roman" w:hAnsiTheme="majorHAnsi" w:cstheme="majorHAnsi"/>
          <w:sz w:val="24"/>
          <w:szCs w:val="24"/>
          <w:lang w:eastAsia="fr-FR"/>
        </w:rPr>
      </w:pPr>
      <w:proofErr w:type="gramStart"/>
      <w:r w:rsidRPr="00187EA0">
        <w:rPr>
          <w:rFonts w:asciiTheme="majorHAnsi" w:eastAsia="Times New Roman" w:hAnsiTheme="majorHAnsi" w:cstheme="majorHAnsi"/>
          <w:sz w:val="24"/>
          <w:szCs w:val="24"/>
          <w:lang w:eastAsia="fr-FR"/>
        </w:rPr>
        <w:t>les</w:t>
      </w:r>
      <w:proofErr w:type="gramEnd"/>
      <w:r w:rsidRPr="00187EA0">
        <w:rPr>
          <w:rFonts w:asciiTheme="majorHAnsi" w:eastAsia="Times New Roman" w:hAnsiTheme="majorHAnsi" w:cstheme="majorHAnsi"/>
          <w:sz w:val="24"/>
          <w:szCs w:val="24"/>
          <w:lang w:eastAsia="fr-FR"/>
        </w:rPr>
        <w:t xml:space="preserve"> durées recommandées par la Cnil, </w:t>
      </w:r>
      <w:r w:rsidRPr="00187EA0">
        <w:rPr>
          <w:rFonts w:asciiTheme="majorHAnsi" w:eastAsia="Times New Roman" w:hAnsiTheme="majorHAnsi" w:cstheme="majorHAnsi"/>
          <w:i/>
          <w:iCs/>
          <w:sz w:val="24"/>
          <w:szCs w:val="24"/>
          <w:lang w:eastAsia="fr-FR"/>
        </w:rPr>
        <w:t>« points de repère pour déterminer la durée pertinente »</w:t>
      </w:r>
      <w:r w:rsidRPr="00187EA0">
        <w:rPr>
          <w:rFonts w:asciiTheme="majorHAnsi" w:eastAsia="Times New Roman" w:hAnsiTheme="majorHAnsi" w:cstheme="majorHAnsi"/>
          <w:sz w:val="24"/>
          <w:szCs w:val="24"/>
          <w:lang w:eastAsia="fr-FR"/>
        </w:rPr>
        <w:t>.</w:t>
      </w:r>
    </w:p>
    <w:p w:rsidR="00187EA0" w:rsidRPr="00187EA0" w:rsidRDefault="00187EA0" w:rsidP="00187EA0">
      <w:pPr>
        <w:rPr>
          <w:sz w:val="24"/>
          <w:szCs w:val="24"/>
          <w:lang w:eastAsia="fr-FR"/>
        </w:rPr>
      </w:pPr>
    </w:p>
    <w:p w:rsidR="00187EA0" w:rsidRPr="00187EA0" w:rsidRDefault="00187EA0" w:rsidP="00187EA0">
      <w:pPr>
        <w:numPr>
          <w:ilvl w:val="1"/>
          <w:numId w:val="22"/>
        </w:numPr>
        <w:shd w:val="clear" w:color="auto" w:fill="FFFFFF"/>
        <w:spacing w:after="0" w:line="240" w:lineRule="auto"/>
        <w:ind w:left="0"/>
        <w:jc w:val="both"/>
        <w:rPr>
          <w:rFonts w:asciiTheme="majorHAnsi" w:eastAsia="Times New Roman" w:hAnsiTheme="majorHAnsi" w:cstheme="majorHAnsi"/>
          <w:sz w:val="27"/>
          <w:szCs w:val="27"/>
          <w:lang w:eastAsia="fr-FR"/>
        </w:rPr>
      </w:pPr>
      <w:hyperlink r:id="rId26" w:tgtFrame="_blank" w:tooltip="Questions-réponses sur le référentiel pour le suivi médico-social des personnes âgées, en situation de handicap ou en difficulté - Nouvelle fenêtre" w:history="1">
        <w:r w:rsidRPr="00187EA0">
          <w:rPr>
            <w:rFonts w:asciiTheme="majorHAnsi" w:eastAsia="Times New Roman" w:hAnsiTheme="majorHAnsi" w:cstheme="majorHAnsi"/>
            <w:sz w:val="27"/>
            <w:szCs w:val="27"/>
            <w:u w:val="single"/>
            <w:lang w:eastAsia="fr-FR"/>
          </w:rPr>
          <w:t>Le référentiel pour le suivi médico-social des personnes âgées, en situation de handicap ou en difficulté</w:t>
        </w:r>
      </w:hyperlink>
    </w:p>
    <w:p w:rsidR="00187EA0" w:rsidRPr="00187EA0" w:rsidRDefault="00187EA0" w:rsidP="00187EA0">
      <w:pPr>
        <w:numPr>
          <w:ilvl w:val="1"/>
          <w:numId w:val="22"/>
        </w:numPr>
        <w:shd w:val="clear" w:color="auto" w:fill="FFFFFF"/>
        <w:spacing w:after="0" w:line="240" w:lineRule="auto"/>
        <w:ind w:left="0"/>
        <w:jc w:val="both"/>
        <w:rPr>
          <w:rFonts w:asciiTheme="majorHAnsi" w:eastAsia="Times New Roman" w:hAnsiTheme="majorHAnsi" w:cstheme="majorHAnsi"/>
          <w:sz w:val="27"/>
          <w:szCs w:val="27"/>
          <w:lang w:eastAsia="fr-FR"/>
        </w:rPr>
      </w:pPr>
      <w:hyperlink r:id="rId27" w:tgtFrame="_blank" w:tooltip="Protection de l’enfance et des majeurs de moins de 21 ans : la CNIL publie un référentiel - Nouvelle fenêtre" w:history="1">
        <w:r w:rsidRPr="00187EA0">
          <w:rPr>
            <w:rFonts w:asciiTheme="majorHAnsi" w:eastAsia="Times New Roman" w:hAnsiTheme="majorHAnsi" w:cstheme="majorHAnsi"/>
            <w:sz w:val="27"/>
            <w:szCs w:val="27"/>
            <w:u w:val="single"/>
            <w:lang w:eastAsia="fr-FR"/>
          </w:rPr>
          <w:t>Le référentiel sur la protection de l’enfance</w:t>
        </w:r>
      </w:hyperlink>
    </w:p>
    <w:p w:rsidR="00187EA0" w:rsidRPr="00187EA0" w:rsidRDefault="00187EA0" w:rsidP="00187EA0">
      <w:pPr>
        <w:numPr>
          <w:ilvl w:val="1"/>
          <w:numId w:val="22"/>
        </w:numPr>
        <w:shd w:val="clear" w:color="auto" w:fill="FFFFFF"/>
        <w:spacing w:after="0" w:line="240" w:lineRule="auto"/>
        <w:ind w:left="0"/>
        <w:jc w:val="both"/>
        <w:rPr>
          <w:rFonts w:asciiTheme="majorHAnsi" w:eastAsia="Times New Roman" w:hAnsiTheme="majorHAnsi" w:cstheme="majorHAnsi"/>
          <w:sz w:val="27"/>
          <w:szCs w:val="27"/>
          <w:lang w:eastAsia="fr-FR"/>
        </w:rPr>
      </w:pPr>
      <w:hyperlink r:id="rId28" w:tgtFrame="_blank" w:tooltip="Le référentiel de durées de conservation en matière sociale (PDF, 245 ko) - Nouvelle fenêtre" w:history="1">
        <w:r w:rsidRPr="00187EA0">
          <w:rPr>
            <w:rFonts w:asciiTheme="majorHAnsi" w:eastAsia="Times New Roman" w:hAnsiTheme="majorHAnsi" w:cstheme="majorHAnsi"/>
            <w:sz w:val="27"/>
            <w:szCs w:val="27"/>
            <w:u w:val="single"/>
            <w:lang w:eastAsia="fr-FR"/>
          </w:rPr>
          <w:t>Le référentiel de durées de conservation en matière sociale</w:t>
        </w:r>
      </w:hyperlink>
    </w:p>
    <w:p w:rsidR="00187EA0" w:rsidRPr="00187EA0" w:rsidRDefault="00187EA0" w:rsidP="00187EA0">
      <w:pPr>
        <w:rPr>
          <w:sz w:val="24"/>
          <w:szCs w:val="24"/>
          <w:lang w:eastAsia="fr-FR"/>
        </w:rPr>
      </w:pPr>
    </w:p>
    <w:p w:rsidR="00187EA0" w:rsidRPr="00187EA0" w:rsidRDefault="00187EA0" w:rsidP="00187EA0">
      <w:pPr>
        <w:rPr>
          <w:sz w:val="24"/>
          <w:szCs w:val="24"/>
          <w:lang w:eastAsia="fr-FR"/>
        </w:rPr>
      </w:pPr>
    </w:p>
    <w:p w:rsidR="004A0D58" w:rsidRPr="00187EA0" w:rsidRDefault="004A0D58" w:rsidP="00D02D49">
      <w:pPr>
        <w:shd w:val="clear" w:color="auto" w:fill="FFFFFF"/>
        <w:spacing w:before="225" w:after="225" w:line="240" w:lineRule="auto"/>
        <w:jc w:val="both"/>
        <w:rPr>
          <w:rFonts w:asciiTheme="majorHAnsi" w:eastAsia="Times New Roman" w:hAnsiTheme="majorHAnsi" w:cstheme="majorHAnsi"/>
          <w:sz w:val="27"/>
          <w:szCs w:val="27"/>
          <w:lang w:eastAsia="fr-FR"/>
        </w:rPr>
      </w:pPr>
    </w:p>
    <w:p w:rsidR="004A0D58" w:rsidRPr="00187EA0" w:rsidRDefault="004A0D58" w:rsidP="00D02D49">
      <w:pPr>
        <w:jc w:val="both"/>
        <w:rPr>
          <w:rFonts w:asciiTheme="majorHAnsi" w:eastAsia="Times New Roman" w:hAnsiTheme="majorHAnsi" w:cstheme="majorHAnsi"/>
          <w:b/>
          <w:bCs/>
          <w:sz w:val="48"/>
          <w:szCs w:val="48"/>
          <w:lang w:eastAsia="fr-FR"/>
        </w:rPr>
      </w:pPr>
      <w:r w:rsidRPr="00187EA0">
        <w:rPr>
          <w:rFonts w:asciiTheme="majorHAnsi" w:eastAsia="Times New Roman" w:hAnsiTheme="majorHAnsi" w:cstheme="majorHAnsi"/>
          <w:b/>
          <w:bCs/>
          <w:sz w:val="48"/>
          <w:szCs w:val="48"/>
          <w:lang w:eastAsia="fr-FR"/>
        </w:rPr>
        <w:br w:type="page"/>
      </w:r>
    </w:p>
    <w:p w:rsidR="004A0D58" w:rsidRPr="00187EA0" w:rsidRDefault="004A0D58" w:rsidP="00D02D49">
      <w:pPr>
        <w:shd w:val="clear" w:color="auto" w:fill="FFFFFF"/>
        <w:spacing w:before="211" w:after="211" w:line="240" w:lineRule="auto"/>
        <w:jc w:val="both"/>
        <w:outlineLvl w:val="1"/>
        <w:rPr>
          <w:rFonts w:asciiTheme="majorHAnsi" w:eastAsia="Times New Roman" w:hAnsiTheme="majorHAnsi" w:cstheme="majorHAnsi"/>
          <w:b/>
          <w:bCs/>
          <w:sz w:val="48"/>
          <w:szCs w:val="48"/>
          <w:lang w:eastAsia="fr-FR"/>
        </w:rPr>
      </w:pPr>
      <w:r w:rsidRPr="00187EA0">
        <w:rPr>
          <w:rFonts w:asciiTheme="majorHAnsi" w:eastAsia="Times New Roman" w:hAnsiTheme="majorHAnsi" w:cstheme="majorHAnsi"/>
          <w:b/>
          <w:bCs/>
          <w:sz w:val="48"/>
          <w:szCs w:val="48"/>
          <w:lang w:eastAsia="fr-FR"/>
        </w:rPr>
        <w:lastRenderedPageBreak/>
        <w:t>Ressources</w:t>
      </w:r>
    </w:p>
    <w:p w:rsidR="004A0D58" w:rsidRPr="00187EA0" w:rsidRDefault="004A0D58"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b/>
          <w:bCs/>
          <w:sz w:val="27"/>
          <w:szCs w:val="27"/>
          <w:lang w:eastAsia="fr-FR"/>
        </w:rPr>
        <w:t>Vous trouverez ci-dessous l’ensemble des ressources qui pourront vous aider à mettre en place les différentes étapes de votre plan d’action.</w:t>
      </w:r>
    </w:p>
    <w:p w:rsidR="004A0D58" w:rsidRPr="00187EA0" w:rsidRDefault="00187EA0" w:rsidP="00D02D49">
      <w:pPr>
        <w:numPr>
          <w:ilvl w:val="0"/>
          <w:numId w:val="21"/>
        </w:numPr>
        <w:shd w:val="clear" w:color="auto" w:fill="FFFFFF"/>
        <w:spacing w:after="0" w:line="240" w:lineRule="auto"/>
        <w:ind w:left="0"/>
        <w:jc w:val="both"/>
        <w:rPr>
          <w:rFonts w:asciiTheme="majorHAnsi" w:eastAsia="Times New Roman" w:hAnsiTheme="majorHAnsi" w:cstheme="majorHAnsi"/>
          <w:sz w:val="27"/>
          <w:szCs w:val="27"/>
          <w:lang w:eastAsia="fr-FR"/>
        </w:rPr>
      </w:pPr>
      <w:hyperlink r:id="rId29" w:tgtFrame="_blank" w:tooltip="Guide pratique : les durées de conservation (PDF, 763 ko) - Nouvelle fenêtre" w:history="1">
        <w:r w:rsidR="004A0D58" w:rsidRPr="00187EA0">
          <w:rPr>
            <w:rFonts w:asciiTheme="majorHAnsi" w:eastAsia="Times New Roman" w:hAnsiTheme="majorHAnsi" w:cstheme="majorHAnsi"/>
            <w:sz w:val="27"/>
            <w:szCs w:val="27"/>
            <w:u w:val="single"/>
            <w:lang w:eastAsia="fr-FR"/>
          </w:rPr>
          <w:t>Guide pratique sur les durées de conservation de la CNIL</w:t>
        </w:r>
      </w:hyperlink>
      <w:r w:rsidR="004A0D58" w:rsidRPr="00187EA0">
        <w:rPr>
          <w:rFonts w:asciiTheme="majorHAnsi" w:eastAsia="Times New Roman" w:hAnsiTheme="majorHAnsi" w:cstheme="majorHAnsi"/>
          <w:sz w:val="27"/>
          <w:szCs w:val="27"/>
          <w:lang w:eastAsia="fr-FR"/>
        </w:rPr>
        <w:t>, élaboré en partenariat avec le service interministériel des Archives de France (</w:t>
      </w:r>
      <w:proofErr w:type="spellStart"/>
      <w:r w:rsidR="004A0D58" w:rsidRPr="00187EA0">
        <w:rPr>
          <w:rFonts w:asciiTheme="majorHAnsi" w:eastAsia="Times New Roman" w:hAnsiTheme="majorHAnsi" w:cstheme="majorHAnsi"/>
          <w:sz w:val="27"/>
          <w:szCs w:val="27"/>
          <w:lang w:eastAsia="fr-FR"/>
        </w:rPr>
        <w:t>SIAF</w:t>
      </w:r>
      <w:proofErr w:type="spellEnd"/>
      <w:r w:rsidR="004A0D58" w:rsidRPr="00187EA0">
        <w:rPr>
          <w:rFonts w:asciiTheme="majorHAnsi" w:eastAsia="Times New Roman" w:hAnsiTheme="majorHAnsi" w:cstheme="majorHAnsi"/>
          <w:sz w:val="27"/>
          <w:szCs w:val="27"/>
          <w:lang w:eastAsia="fr-FR"/>
        </w:rPr>
        <w:t>)</w:t>
      </w:r>
    </w:p>
    <w:p w:rsidR="004A0D58" w:rsidRPr="00187EA0" w:rsidRDefault="004A0D58"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sz w:val="27"/>
          <w:szCs w:val="27"/>
          <w:lang w:eastAsia="fr-FR"/>
        </w:rPr>
        <w:t xml:space="preserve">Ce guide répond aux questions fréquentes sur le principe de limitation de la conservation des durées, ainsi que sur sa mise en pratique. Le guide explicite également comment articuler les obligations du </w:t>
      </w:r>
      <w:proofErr w:type="spellStart"/>
      <w:r w:rsidRPr="00187EA0">
        <w:rPr>
          <w:rFonts w:asciiTheme="majorHAnsi" w:eastAsia="Times New Roman" w:hAnsiTheme="majorHAnsi" w:cstheme="majorHAnsi"/>
          <w:sz w:val="27"/>
          <w:szCs w:val="27"/>
          <w:lang w:eastAsia="fr-FR"/>
        </w:rPr>
        <w:t>RGPD</w:t>
      </w:r>
      <w:proofErr w:type="spellEnd"/>
      <w:r w:rsidRPr="00187EA0">
        <w:rPr>
          <w:rFonts w:asciiTheme="majorHAnsi" w:eastAsia="Times New Roman" w:hAnsiTheme="majorHAnsi" w:cstheme="majorHAnsi"/>
          <w:sz w:val="27"/>
          <w:szCs w:val="27"/>
          <w:lang w:eastAsia="fr-FR"/>
        </w:rPr>
        <w:t>, et celles du code du patrimoine en matière d’archives publiques.</w:t>
      </w:r>
    </w:p>
    <w:p w:rsidR="004A0D58" w:rsidRPr="00187EA0" w:rsidRDefault="004A0D58" w:rsidP="00D02D49">
      <w:pPr>
        <w:numPr>
          <w:ilvl w:val="0"/>
          <w:numId w:val="22"/>
        </w:numPr>
        <w:shd w:val="clear" w:color="auto" w:fill="FFFFFF"/>
        <w:spacing w:after="0" w:line="240" w:lineRule="auto"/>
        <w:ind w:left="0"/>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b/>
          <w:bCs/>
          <w:sz w:val="27"/>
          <w:szCs w:val="27"/>
          <w:lang w:eastAsia="fr-FR"/>
        </w:rPr>
        <w:t>Les référentiels « sectoriels » de la CNIL</w:t>
      </w:r>
    </w:p>
    <w:p w:rsidR="004A0D58" w:rsidRPr="00187EA0" w:rsidRDefault="00187EA0" w:rsidP="00D02D49">
      <w:pPr>
        <w:numPr>
          <w:ilvl w:val="1"/>
          <w:numId w:val="22"/>
        </w:numPr>
        <w:shd w:val="clear" w:color="auto" w:fill="FFFFFF"/>
        <w:spacing w:after="0" w:line="240" w:lineRule="auto"/>
        <w:ind w:left="0"/>
        <w:jc w:val="both"/>
        <w:rPr>
          <w:rFonts w:asciiTheme="majorHAnsi" w:eastAsia="Times New Roman" w:hAnsiTheme="majorHAnsi" w:cstheme="majorHAnsi"/>
          <w:sz w:val="27"/>
          <w:szCs w:val="27"/>
          <w:lang w:eastAsia="fr-FR"/>
        </w:rPr>
      </w:pPr>
      <w:hyperlink r:id="rId30" w:tgtFrame="_blank" w:tooltip="Questions-réponses sur le référentiel pour le suivi médico-social des personnes âgées, en situation de handicap ou en difficulté - Nouvelle fenêtre" w:history="1">
        <w:r w:rsidR="004A0D58" w:rsidRPr="00187EA0">
          <w:rPr>
            <w:rFonts w:asciiTheme="majorHAnsi" w:eastAsia="Times New Roman" w:hAnsiTheme="majorHAnsi" w:cstheme="majorHAnsi"/>
            <w:sz w:val="27"/>
            <w:szCs w:val="27"/>
            <w:u w:val="single"/>
            <w:lang w:eastAsia="fr-FR"/>
          </w:rPr>
          <w:t>Le référentiel pour le suivi médico-social des personnes âgées, en situation de handicap ou en difficulté</w:t>
        </w:r>
      </w:hyperlink>
    </w:p>
    <w:p w:rsidR="004A0D58" w:rsidRPr="00187EA0" w:rsidRDefault="00187EA0" w:rsidP="00D02D49">
      <w:pPr>
        <w:numPr>
          <w:ilvl w:val="1"/>
          <w:numId w:val="22"/>
        </w:numPr>
        <w:shd w:val="clear" w:color="auto" w:fill="FFFFFF"/>
        <w:spacing w:after="0" w:line="240" w:lineRule="auto"/>
        <w:ind w:left="0"/>
        <w:jc w:val="both"/>
        <w:rPr>
          <w:rFonts w:asciiTheme="majorHAnsi" w:eastAsia="Times New Roman" w:hAnsiTheme="majorHAnsi" w:cstheme="majorHAnsi"/>
          <w:sz w:val="27"/>
          <w:szCs w:val="27"/>
          <w:lang w:eastAsia="fr-FR"/>
        </w:rPr>
      </w:pPr>
      <w:hyperlink r:id="rId31" w:tgtFrame="_blank" w:tooltip="Protection de l’enfance et des majeurs de moins de 21 ans : la CNIL publie un référentiel - Nouvelle fenêtre" w:history="1">
        <w:r w:rsidR="004A0D58" w:rsidRPr="00187EA0">
          <w:rPr>
            <w:rFonts w:asciiTheme="majorHAnsi" w:eastAsia="Times New Roman" w:hAnsiTheme="majorHAnsi" w:cstheme="majorHAnsi"/>
            <w:sz w:val="27"/>
            <w:szCs w:val="27"/>
            <w:u w:val="single"/>
            <w:lang w:eastAsia="fr-FR"/>
          </w:rPr>
          <w:t>Le référentiel sur la protection de l’enfance</w:t>
        </w:r>
      </w:hyperlink>
    </w:p>
    <w:p w:rsidR="004A0D58" w:rsidRPr="00187EA0" w:rsidRDefault="00187EA0" w:rsidP="00D02D49">
      <w:pPr>
        <w:numPr>
          <w:ilvl w:val="1"/>
          <w:numId w:val="22"/>
        </w:numPr>
        <w:shd w:val="clear" w:color="auto" w:fill="FFFFFF"/>
        <w:spacing w:after="0" w:line="240" w:lineRule="auto"/>
        <w:ind w:left="0"/>
        <w:jc w:val="both"/>
        <w:rPr>
          <w:rFonts w:asciiTheme="majorHAnsi" w:eastAsia="Times New Roman" w:hAnsiTheme="majorHAnsi" w:cstheme="majorHAnsi"/>
          <w:sz w:val="27"/>
          <w:szCs w:val="27"/>
          <w:lang w:eastAsia="fr-FR"/>
        </w:rPr>
      </w:pPr>
      <w:hyperlink r:id="rId32" w:tgtFrame="_blank" w:tooltip="Le référentiel de durées de conservation en matière sociale (PDF, 245 ko) - Nouvelle fenêtre" w:history="1">
        <w:r w:rsidR="004A0D58" w:rsidRPr="00187EA0">
          <w:rPr>
            <w:rFonts w:asciiTheme="majorHAnsi" w:eastAsia="Times New Roman" w:hAnsiTheme="majorHAnsi" w:cstheme="majorHAnsi"/>
            <w:sz w:val="27"/>
            <w:szCs w:val="27"/>
            <w:u w:val="single"/>
            <w:lang w:eastAsia="fr-FR"/>
          </w:rPr>
          <w:t>Le référentiel de durées de conservation en matière sociale</w:t>
        </w:r>
      </w:hyperlink>
    </w:p>
    <w:p w:rsidR="004A0D58" w:rsidRPr="00187EA0" w:rsidRDefault="004A0D58"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sz w:val="27"/>
          <w:szCs w:val="27"/>
          <w:lang w:eastAsia="fr-FR"/>
        </w:rPr>
        <w:t>Ces outils constituent une aide pour la mise en conformité de votre structure. Ils n’ont pas de caractère obligatoire : les organismes peuvent s’écarter de leurs préconisations sous réserve de pouvoir justifier leurs choix. Ils permettent toutefois d’offrir une sécurité juridique aux organismes qui s’y conforment.</w:t>
      </w:r>
    </w:p>
    <w:p w:rsidR="004A0D58" w:rsidRPr="00187EA0" w:rsidRDefault="004A0D58" w:rsidP="00D02D49">
      <w:pPr>
        <w:numPr>
          <w:ilvl w:val="0"/>
          <w:numId w:val="23"/>
        </w:numPr>
        <w:shd w:val="clear" w:color="auto" w:fill="FFFFFF"/>
        <w:spacing w:after="0" w:line="240" w:lineRule="auto"/>
        <w:ind w:left="0"/>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b/>
          <w:bCs/>
          <w:sz w:val="27"/>
          <w:szCs w:val="27"/>
          <w:lang w:eastAsia="fr-FR"/>
        </w:rPr>
        <w:t>Le portail des Archives de France</w:t>
      </w:r>
    </w:p>
    <w:p w:rsidR="004A0D58" w:rsidRPr="00187EA0" w:rsidRDefault="00187EA0"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hyperlink r:id="rId33" w:tgtFrame="_blank" w:tooltip="Gérer les archives - francearchives.gouv.fr - Nouvelle fenêtre" w:history="1">
        <w:r w:rsidR="004A0D58" w:rsidRPr="00187EA0">
          <w:rPr>
            <w:rFonts w:asciiTheme="majorHAnsi" w:eastAsia="Times New Roman" w:hAnsiTheme="majorHAnsi" w:cstheme="majorHAnsi"/>
            <w:sz w:val="27"/>
            <w:szCs w:val="27"/>
            <w:u w:val="single"/>
            <w:lang w:eastAsia="fr-FR"/>
          </w:rPr>
          <w:t>Le portail interministériel des Archives de France</w:t>
        </w:r>
      </w:hyperlink>
      <w:r w:rsidR="004A0D58" w:rsidRPr="00187EA0">
        <w:rPr>
          <w:rFonts w:asciiTheme="majorHAnsi" w:eastAsia="Times New Roman" w:hAnsiTheme="majorHAnsi" w:cstheme="majorHAnsi"/>
          <w:sz w:val="27"/>
          <w:szCs w:val="27"/>
          <w:lang w:eastAsia="fr-FR"/>
        </w:rPr>
        <w:t> propose un large fond documentaire sur lequel les organismes peuvent s’appuyer pour la mise en œuvre des règles en matière d’archives publiques.</w:t>
      </w:r>
    </w:p>
    <w:p w:rsidR="004A0D58" w:rsidRPr="00187EA0" w:rsidRDefault="004A0D58" w:rsidP="00D02D49">
      <w:pPr>
        <w:numPr>
          <w:ilvl w:val="0"/>
          <w:numId w:val="24"/>
        </w:numPr>
        <w:shd w:val="clear" w:color="auto" w:fill="FFFFFF"/>
        <w:spacing w:after="0" w:line="240" w:lineRule="auto"/>
        <w:ind w:left="0"/>
        <w:jc w:val="both"/>
        <w:rPr>
          <w:rFonts w:asciiTheme="majorHAnsi" w:eastAsia="Times New Roman" w:hAnsiTheme="majorHAnsi" w:cstheme="majorHAnsi"/>
          <w:sz w:val="27"/>
          <w:szCs w:val="27"/>
          <w:lang w:eastAsia="fr-FR"/>
        </w:rPr>
      </w:pPr>
      <w:r w:rsidRPr="00187EA0">
        <w:rPr>
          <w:rFonts w:asciiTheme="majorHAnsi" w:eastAsia="Times New Roman" w:hAnsiTheme="majorHAnsi" w:cstheme="majorHAnsi"/>
          <w:b/>
          <w:bCs/>
          <w:sz w:val="27"/>
          <w:szCs w:val="27"/>
          <w:lang w:eastAsia="fr-FR"/>
        </w:rPr>
        <w:t>La rubrique « Social » sur le site web de la CNIL</w:t>
      </w:r>
    </w:p>
    <w:p w:rsidR="004A0D58" w:rsidRPr="00187EA0" w:rsidRDefault="00187EA0" w:rsidP="00D02D49">
      <w:pPr>
        <w:shd w:val="clear" w:color="auto" w:fill="FFFFFF"/>
        <w:spacing w:before="211" w:after="211" w:line="240" w:lineRule="auto"/>
        <w:jc w:val="both"/>
        <w:rPr>
          <w:rFonts w:asciiTheme="majorHAnsi" w:eastAsia="Times New Roman" w:hAnsiTheme="majorHAnsi" w:cstheme="majorHAnsi"/>
          <w:sz w:val="27"/>
          <w:szCs w:val="27"/>
          <w:lang w:eastAsia="fr-FR"/>
        </w:rPr>
      </w:pPr>
      <w:hyperlink r:id="rId34" w:tgtFrame="_blank" w:tooltip="La protection des données personnelles dans le secteur social - Nouvelle fenêtre" w:history="1">
        <w:r w:rsidR="004A0D58" w:rsidRPr="00187EA0">
          <w:rPr>
            <w:rFonts w:asciiTheme="majorHAnsi" w:eastAsia="Times New Roman" w:hAnsiTheme="majorHAnsi" w:cstheme="majorHAnsi"/>
            <w:sz w:val="27"/>
            <w:szCs w:val="27"/>
            <w:u w:val="single"/>
            <w:lang w:eastAsia="fr-FR"/>
          </w:rPr>
          <w:t>Dans cette rubrique</w:t>
        </w:r>
      </w:hyperlink>
      <w:r w:rsidR="004A0D58" w:rsidRPr="00187EA0">
        <w:rPr>
          <w:rFonts w:asciiTheme="majorHAnsi" w:eastAsia="Times New Roman" w:hAnsiTheme="majorHAnsi" w:cstheme="majorHAnsi"/>
          <w:sz w:val="27"/>
          <w:szCs w:val="27"/>
          <w:lang w:eastAsia="fr-FR"/>
        </w:rPr>
        <w:t>, la CNIL met à disposition des professionnels du secteur des fiches pratiques pour mieux comprendre les enjeux liés à la protection des données personnelles dans le secteur social.</w:t>
      </w:r>
    </w:p>
    <w:p w:rsidR="00652395" w:rsidRPr="00187EA0" w:rsidRDefault="00652395" w:rsidP="00D02D49">
      <w:pPr>
        <w:spacing w:after="120"/>
        <w:jc w:val="both"/>
        <w:rPr>
          <w:rFonts w:asciiTheme="majorHAnsi" w:hAnsiTheme="majorHAnsi" w:cstheme="majorHAnsi"/>
        </w:rPr>
      </w:pPr>
    </w:p>
    <w:sectPr w:rsidR="00652395" w:rsidRPr="00187E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10839"/>
    <w:multiLevelType w:val="multilevel"/>
    <w:tmpl w:val="2E723B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CE06F4"/>
    <w:multiLevelType w:val="multilevel"/>
    <w:tmpl w:val="E744D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8C00E5"/>
    <w:multiLevelType w:val="hybridMultilevel"/>
    <w:tmpl w:val="78D28FE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0897C95"/>
    <w:multiLevelType w:val="multilevel"/>
    <w:tmpl w:val="61428C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046576"/>
    <w:multiLevelType w:val="multilevel"/>
    <w:tmpl w:val="4B6C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C6111B"/>
    <w:multiLevelType w:val="multilevel"/>
    <w:tmpl w:val="E5625F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8C2436"/>
    <w:multiLevelType w:val="multilevel"/>
    <w:tmpl w:val="AED8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453AE2"/>
    <w:multiLevelType w:val="multilevel"/>
    <w:tmpl w:val="79C29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146F16"/>
    <w:multiLevelType w:val="multilevel"/>
    <w:tmpl w:val="DFEAA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A004C6"/>
    <w:multiLevelType w:val="multilevel"/>
    <w:tmpl w:val="9980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177D06"/>
    <w:multiLevelType w:val="multilevel"/>
    <w:tmpl w:val="669CC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4F790B"/>
    <w:multiLevelType w:val="multilevel"/>
    <w:tmpl w:val="FCC23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F83293"/>
    <w:multiLevelType w:val="multilevel"/>
    <w:tmpl w:val="DF6CEA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711537"/>
    <w:multiLevelType w:val="hybridMultilevel"/>
    <w:tmpl w:val="7E644BEC"/>
    <w:lvl w:ilvl="0" w:tplc="72C2EE60">
      <w:start w:val="2"/>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B455DCB"/>
    <w:multiLevelType w:val="multilevel"/>
    <w:tmpl w:val="E126F5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070982"/>
    <w:multiLevelType w:val="multilevel"/>
    <w:tmpl w:val="EE1C7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2DE664E"/>
    <w:multiLevelType w:val="multilevel"/>
    <w:tmpl w:val="F0C09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A0697E"/>
    <w:multiLevelType w:val="multilevel"/>
    <w:tmpl w:val="C60A1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1A20AE"/>
    <w:multiLevelType w:val="multilevel"/>
    <w:tmpl w:val="CEFE92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B4C3B1F"/>
    <w:multiLevelType w:val="multilevel"/>
    <w:tmpl w:val="C430D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E674DF"/>
    <w:multiLevelType w:val="multilevel"/>
    <w:tmpl w:val="CD0E4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FA3A87"/>
    <w:multiLevelType w:val="multilevel"/>
    <w:tmpl w:val="0E3E9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916B62"/>
    <w:multiLevelType w:val="multilevel"/>
    <w:tmpl w:val="C242F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7770449"/>
    <w:multiLevelType w:val="multilevel"/>
    <w:tmpl w:val="42367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BB41B8"/>
    <w:multiLevelType w:val="multilevel"/>
    <w:tmpl w:val="FC42F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0A4308"/>
    <w:multiLevelType w:val="multilevel"/>
    <w:tmpl w:val="8258D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A77067"/>
    <w:multiLevelType w:val="multilevel"/>
    <w:tmpl w:val="D1EAB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090FE7"/>
    <w:multiLevelType w:val="multilevel"/>
    <w:tmpl w:val="993AD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6"/>
  </w:num>
  <w:num w:numId="4">
    <w:abstractNumId w:val="11"/>
  </w:num>
  <w:num w:numId="5">
    <w:abstractNumId w:val="15"/>
  </w:num>
  <w:num w:numId="6">
    <w:abstractNumId w:val="19"/>
  </w:num>
  <w:num w:numId="7">
    <w:abstractNumId w:val="17"/>
  </w:num>
  <w:num w:numId="8">
    <w:abstractNumId w:val="26"/>
  </w:num>
  <w:num w:numId="9">
    <w:abstractNumId w:val="23"/>
  </w:num>
  <w:num w:numId="10">
    <w:abstractNumId w:val="25"/>
  </w:num>
  <w:num w:numId="11">
    <w:abstractNumId w:val="20"/>
  </w:num>
  <w:num w:numId="12">
    <w:abstractNumId w:val="8"/>
  </w:num>
  <w:num w:numId="13">
    <w:abstractNumId w:val="14"/>
  </w:num>
  <w:num w:numId="14">
    <w:abstractNumId w:val="21"/>
  </w:num>
  <w:num w:numId="15">
    <w:abstractNumId w:val="0"/>
  </w:num>
  <w:num w:numId="16">
    <w:abstractNumId w:val="27"/>
  </w:num>
  <w:num w:numId="17">
    <w:abstractNumId w:val="18"/>
  </w:num>
  <w:num w:numId="18">
    <w:abstractNumId w:val="6"/>
  </w:num>
  <w:num w:numId="19">
    <w:abstractNumId w:val="10"/>
  </w:num>
  <w:num w:numId="20">
    <w:abstractNumId w:val="9"/>
  </w:num>
  <w:num w:numId="21">
    <w:abstractNumId w:val="24"/>
  </w:num>
  <w:num w:numId="22">
    <w:abstractNumId w:val="5"/>
  </w:num>
  <w:num w:numId="23">
    <w:abstractNumId w:val="7"/>
  </w:num>
  <w:num w:numId="24">
    <w:abstractNumId w:val="1"/>
  </w:num>
  <w:num w:numId="25">
    <w:abstractNumId w:val="13"/>
  </w:num>
  <w:num w:numId="26">
    <w:abstractNumId w:val="22"/>
  </w:num>
  <w:num w:numId="27">
    <w:abstractNumId w:val="12"/>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395"/>
    <w:rsid w:val="0003332A"/>
    <w:rsid w:val="00187EA0"/>
    <w:rsid w:val="004A0D58"/>
    <w:rsid w:val="005B6A34"/>
    <w:rsid w:val="00652395"/>
    <w:rsid w:val="007239B0"/>
    <w:rsid w:val="00D02D49"/>
    <w:rsid w:val="00F01D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9AA16"/>
  <w15:chartTrackingRefBased/>
  <w15:docId w15:val="{4AD8F7D5-745C-40F0-ADEC-F193CEA4B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2D4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52395"/>
    <w:pPr>
      <w:ind w:left="720"/>
      <w:contextualSpacing/>
    </w:pPr>
  </w:style>
  <w:style w:type="paragraph" w:styleId="NormalWeb">
    <w:name w:val="Normal (Web)"/>
    <w:basedOn w:val="Normal"/>
    <w:uiPriority w:val="99"/>
    <w:unhideWhenUsed/>
    <w:rsid w:val="0065239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652395"/>
    <w:rPr>
      <w:b/>
      <w:bCs/>
    </w:rPr>
  </w:style>
  <w:style w:type="character" w:styleId="Lienhypertexte">
    <w:name w:val="Hyperlink"/>
    <w:basedOn w:val="Policepardfaut"/>
    <w:uiPriority w:val="99"/>
    <w:semiHidden/>
    <w:unhideWhenUsed/>
    <w:rsid w:val="00652395"/>
    <w:rPr>
      <w:color w:val="0000FF"/>
      <w:u w:val="single"/>
    </w:rPr>
  </w:style>
  <w:style w:type="character" w:styleId="Lienhypertextesuivivisit">
    <w:name w:val="FollowedHyperlink"/>
    <w:basedOn w:val="Policepardfaut"/>
    <w:uiPriority w:val="99"/>
    <w:semiHidden/>
    <w:unhideWhenUsed/>
    <w:rsid w:val="007239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345966">
      <w:bodyDiv w:val="1"/>
      <w:marLeft w:val="0"/>
      <w:marRight w:val="0"/>
      <w:marTop w:val="0"/>
      <w:marBottom w:val="0"/>
      <w:divBdr>
        <w:top w:val="none" w:sz="0" w:space="0" w:color="auto"/>
        <w:left w:val="none" w:sz="0" w:space="0" w:color="auto"/>
        <w:bottom w:val="none" w:sz="0" w:space="0" w:color="auto"/>
        <w:right w:val="none" w:sz="0" w:space="0" w:color="auto"/>
      </w:divBdr>
    </w:div>
    <w:div w:id="1219827006">
      <w:bodyDiv w:val="1"/>
      <w:marLeft w:val="0"/>
      <w:marRight w:val="0"/>
      <w:marTop w:val="0"/>
      <w:marBottom w:val="0"/>
      <w:divBdr>
        <w:top w:val="none" w:sz="0" w:space="0" w:color="auto"/>
        <w:left w:val="none" w:sz="0" w:space="0" w:color="auto"/>
        <w:bottom w:val="none" w:sz="0" w:space="0" w:color="auto"/>
        <w:right w:val="none" w:sz="0" w:space="0" w:color="auto"/>
      </w:divBdr>
      <w:divsChild>
        <w:div w:id="1510439052">
          <w:marLeft w:val="0"/>
          <w:marRight w:val="0"/>
          <w:marTop w:val="0"/>
          <w:marBottom w:val="0"/>
          <w:divBdr>
            <w:top w:val="single" w:sz="48" w:space="15" w:color="D1CCB9"/>
            <w:left w:val="single" w:sz="48" w:space="15" w:color="D1CCB9"/>
            <w:bottom w:val="single" w:sz="48" w:space="15" w:color="D1CCB9"/>
            <w:right w:val="single" w:sz="48" w:space="15" w:color="D1CCB9"/>
          </w:divBdr>
        </w:div>
        <w:div w:id="713038325">
          <w:marLeft w:val="0"/>
          <w:marRight w:val="0"/>
          <w:marTop w:val="0"/>
          <w:marBottom w:val="0"/>
          <w:divBdr>
            <w:top w:val="none" w:sz="0" w:space="0" w:color="auto"/>
            <w:left w:val="none" w:sz="0" w:space="0" w:color="auto"/>
            <w:bottom w:val="none" w:sz="0" w:space="0" w:color="auto"/>
            <w:right w:val="none" w:sz="0" w:space="0" w:color="auto"/>
          </w:divBdr>
          <w:divsChild>
            <w:div w:id="1623028718">
              <w:marLeft w:val="0"/>
              <w:marRight w:val="0"/>
              <w:marTop w:val="0"/>
              <w:marBottom w:val="0"/>
              <w:divBdr>
                <w:top w:val="none" w:sz="0" w:space="0" w:color="auto"/>
                <w:left w:val="none" w:sz="0" w:space="0" w:color="auto"/>
                <w:bottom w:val="none" w:sz="0" w:space="0" w:color="auto"/>
                <w:right w:val="none" w:sz="0" w:space="0" w:color="auto"/>
              </w:divBdr>
              <w:divsChild>
                <w:div w:id="1360472736">
                  <w:marLeft w:val="0"/>
                  <w:marRight w:val="0"/>
                  <w:marTop w:val="0"/>
                  <w:marBottom w:val="0"/>
                  <w:divBdr>
                    <w:top w:val="none" w:sz="0" w:space="0" w:color="auto"/>
                    <w:left w:val="none" w:sz="0" w:space="0" w:color="auto"/>
                    <w:bottom w:val="none" w:sz="0" w:space="0" w:color="auto"/>
                    <w:right w:val="none" w:sz="0" w:space="0" w:color="auto"/>
                  </w:divBdr>
                  <w:divsChild>
                    <w:div w:id="306785312">
                      <w:marLeft w:val="0"/>
                      <w:marRight w:val="0"/>
                      <w:marTop w:val="0"/>
                      <w:marBottom w:val="0"/>
                      <w:divBdr>
                        <w:top w:val="none" w:sz="0" w:space="0" w:color="auto"/>
                        <w:left w:val="none" w:sz="0" w:space="0" w:color="auto"/>
                        <w:bottom w:val="none" w:sz="0" w:space="0" w:color="auto"/>
                        <w:right w:val="none" w:sz="0" w:space="0" w:color="auto"/>
                      </w:divBdr>
                      <w:divsChild>
                        <w:div w:id="81949881">
                          <w:marLeft w:val="0"/>
                          <w:marRight w:val="0"/>
                          <w:marTop w:val="0"/>
                          <w:marBottom w:val="0"/>
                          <w:divBdr>
                            <w:top w:val="single" w:sz="48" w:space="15" w:color="D1CCB9"/>
                            <w:left w:val="single" w:sz="48" w:space="15" w:color="D1CCB9"/>
                            <w:bottom w:val="single" w:sz="48" w:space="15" w:color="D1CCB9"/>
                            <w:right w:val="single" w:sz="48" w:space="15" w:color="D1CCB9"/>
                          </w:divBdr>
                        </w:div>
                      </w:divsChild>
                    </w:div>
                  </w:divsChild>
                </w:div>
              </w:divsChild>
            </w:div>
          </w:divsChild>
        </w:div>
        <w:div w:id="170803771">
          <w:marLeft w:val="0"/>
          <w:marRight w:val="0"/>
          <w:marTop w:val="0"/>
          <w:marBottom w:val="0"/>
          <w:divBdr>
            <w:top w:val="none" w:sz="0" w:space="0" w:color="auto"/>
            <w:left w:val="none" w:sz="0" w:space="0" w:color="auto"/>
            <w:bottom w:val="none" w:sz="0" w:space="0" w:color="auto"/>
            <w:right w:val="none" w:sz="0" w:space="0" w:color="auto"/>
          </w:divBdr>
          <w:divsChild>
            <w:div w:id="1690714827">
              <w:marLeft w:val="0"/>
              <w:marRight w:val="0"/>
              <w:marTop w:val="0"/>
              <w:marBottom w:val="0"/>
              <w:divBdr>
                <w:top w:val="none" w:sz="0" w:space="0" w:color="auto"/>
                <w:left w:val="none" w:sz="0" w:space="0" w:color="auto"/>
                <w:bottom w:val="none" w:sz="0" w:space="0" w:color="auto"/>
                <w:right w:val="none" w:sz="0" w:space="0" w:color="auto"/>
              </w:divBdr>
              <w:divsChild>
                <w:div w:id="1956869291">
                  <w:marLeft w:val="0"/>
                  <w:marRight w:val="0"/>
                  <w:marTop w:val="0"/>
                  <w:marBottom w:val="0"/>
                  <w:divBdr>
                    <w:top w:val="none" w:sz="0" w:space="0" w:color="auto"/>
                    <w:left w:val="none" w:sz="0" w:space="0" w:color="auto"/>
                    <w:bottom w:val="none" w:sz="0" w:space="0" w:color="auto"/>
                    <w:right w:val="none" w:sz="0" w:space="0" w:color="auto"/>
                  </w:divBdr>
                  <w:divsChild>
                    <w:div w:id="1171488473">
                      <w:marLeft w:val="0"/>
                      <w:marRight w:val="0"/>
                      <w:marTop w:val="0"/>
                      <w:marBottom w:val="0"/>
                      <w:divBdr>
                        <w:top w:val="none" w:sz="0" w:space="0" w:color="auto"/>
                        <w:left w:val="none" w:sz="0" w:space="0" w:color="auto"/>
                        <w:bottom w:val="none" w:sz="0" w:space="0" w:color="auto"/>
                        <w:right w:val="none" w:sz="0" w:space="0" w:color="auto"/>
                      </w:divBdr>
                      <w:divsChild>
                        <w:div w:id="612057655">
                          <w:marLeft w:val="0"/>
                          <w:marRight w:val="0"/>
                          <w:marTop w:val="0"/>
                          <w:marBottom w:val="0"/>
                          <w:divBdr>
                            <w:top w:val="single" w:sz="48" w:space="15" w:color="D1CCB9"/>
                            <w:left w:val="single" w:sz="48" w:space="15" w:color="D1CCB9"/>
                            <w:bottom w:val="single" w:sz="48" w:space="15" w:color="D1CCB9"/>
                            <w:right w:val="single" w:sz="48" w:space="15" w:color="D1CCB9"/>
                          </w:divBdr>
                        </w:div>
                      </w:divsChild>
                    </w:div>
                  </w:divsChild>
                </w:div>
              </w:divsChild>
            </w:div>
          </w:divsChild>
        </w:div>
        <w:div w:id="1773087248">
          <w:marLeft w:val="0"/>
          <w:marRight w:val="0"/>
          <w:marTop w:val="0"/>
          <w:marBottom w:val="0"/>
          <w:divBdr>
            <w:top w:val="none" w:sz="0" w:space="0" w:color="auto"/>
            <w:left w:val="none" w:sz="0" w:space="0" w:color="auto"/>
            <w:bottom w:val="none" w:sz="0" w:space="0" w:color="auto"/>
            <w:right w:val="none" w:sz="0" w:space="0" w:color="auto"/>
          </w:divBdr>
          <w:divsChild>
            <w:div w:id="1878665622">
              <w:marLeft w:val="0"/>
              <w:marRight w:val="0"/>
              <w:marTop w:val="0"/>
              <w:marBottom w:val="0"/>
              <w:divBdr>
                <w:top w:val="none" w:sz="0" w:space="0" w:color="auto"/>
                <w:left w:val="none" w:sz="0" w:space="0" w:color="auto"/>
                <w:bottom w:val="none" w:sz="0" w:space="0" w:color="auto"/>
                <w:right w:val="none" w:sz="0" w:space="0" w:color="auto"/>
              </w:divBdr>
              <w:divsChild>
                <w:div w:id="965694182">
                  <w:marLeft w:val="0"/>
                  <w:marRight w:val="0"/>
                  <w:marTop w:val="0"/>
                  <w:marBottom w:val="0"/>
                  <w:divBdr>
                    <w:top w:val="none" w:sz="0" w:space="0" w:color="auto"/>
                    <w:left w:val="none" w:sz="0" w:space="0" w:color="auto"/>
                    <w:bottom w:val="none" w:sz="0" w:space="0" w:color="auto"/>
                    <w:right w:val="none" w:sz="0" w:space="0" w:color="auto"/>
                  </w:divBdr>
                  <w:divsChild>
                    <w:div w:id="1589385196">
                      <w:marLeft w:val="0"/>
                      <w:marRight w:val="0"/>
                      <w:marTop w:val="0"/>
                      <w:marBottom w:val="0"/>
                      <w:divBdr>
                        <w:top w:val="none" w:sz="0" w:space="0" w:color="auto"/>
                        <w:left w:val="none" w:sz="0" w:space="0" w:color="auto"/>
                        <w:bottom w:val="none" w:sz="0" w:space="0" w:color="auto"/>
                        <w:right w:val="none" w:sz="0" w:space="0" w:color="auto"/>
                      </w:divBdr>
                      <w:divsChild>
                        <w:div w:id="1107310373">
                          <w:marLeft w:val="0"/>
                          <w:marRight w:val="0"/>
                          <w:marTop w:val="0"/>
                          <w:marBottom w:val="0"/>
                          <w:divBdr>
                            <w:top w:val="single" w:sz="48" w:space="15" w:color="D1CCB9"/>
                            <w:left w:val="single" w:sz="48" w:space="15" w:color="D1CCB9"/>
                            <w:bottom w:val="single" w:sz="48" w:space="15" w:color="D1CCB9"/>
                            <w:right w:val="single" w:sz="48" w:space="15" w:color="D1CCB9"/>
                          </w:divBdr>
                        </w:div>
                      </w:divsChild>
                    </w:div>
                  </w:divsChild>
                </w:div>
              </w:divsChild>
            </w:div>
          </w:divsChild>
        </w:div>
        <w:div w:id="382796603">
          <w:marLeft w:val="0"/>
          <w:marRight w:val="0"/>
          <w:marTop w:val="0"/>
          <w:marBottom w:val="0"/>
          <w:divBdr>
            <w:top w:val="none" w:sz="0" w:space="0" w:color="auto"/>
            <w:left w:val="none" w:sz="0" w:space="0" w:color="auto"/>
            <w:bottom w:val="none" w:sz="0" w:space="0" w:color="auto"/>
            <w:right w:val="none" w:sz="0" w:space="0" w:color="auto"/>
          </w:divBdr>
          <w:divsChild>
            <w:div w:id="292561329">
              <w:marLeft w:val="0"/>
              <w:marRight w:val="0"/>
              <w:marTop w:val="0"/>
              <w:marBottom w:val="0"/>
              <w:divBdr>
                <w:top w:val="none" w:sz="0" w:space="0" w:color="auto"/>
                <w:left w:val="none" w:sz="0" w:space="0" w:color="auto"/>
                <w:bottom w:val="none" w:sz="0" w:space="0" w:color="auto"/>
                <w:right w:val="none" w:sz="0" w:space="0" w:color="auto"/>
              </w:divBdr>
              <w:divsChild>
                <w:div w:id="1131241873">
                  <w:marLeft w:val="0"/>
                  <w:marRight w:val="0"/>
                  <w:marTop w:val="0"/>
                  <w:marBottom w:val="0"/>
                  <w:divBdr>
                    <w:top w:val="none" w:sz="0" w:space="0" w:color="auto"/>
                    <w:left w:val="none" w:sz="0" w:space="0" w:color="auto"/>
                    <w:bottom w:val="none" w:sz="0" w:space="0" w:color="auto"/>
                    <w:right w:val="none" w:sz="0" w:space="0" w:color="auto"/>
                  </w:divBdr>
                  <w:divsChild>
                    <w:div w:id="287584841">
                      <w:marLeft w:val="0"/>
                      <w:marRight w:val="0"/>
                      <w:marTop w:val="0"/>
                      <w:marBottom w:val="0"/>
                      <w:divBdr>
                        <w:top w:val="none" w:sz="0" w:space="0" w:color="auto"/>
                        <w:left w:val="none" w:sz="0" w:space="0" w:color="auto"/>
                        <w:bottom w:val="none" w:sz="0" w:space="0" w:color="auto"/>
                        <w:right w:val="none" w:sz="0" w:space="0" w:color="auto"/>
                      </w:divBdr>
                      <w:divsChild>
                        <w:div w:id="1341542493">
                          <w:marLeft w:val="0"/>
                          <w:marRight w:val="0"/>
                          <w:marTop w:val="0"/>
                          <w:marBottom w:val="0"/>
                          <w:divBdr>
                            <w:top w:val="single" w:sz="48" w:space="15" w:color="D1CCB9"/>
                            <w:left w:val="single" w:sz="48" w:space="15" w:color="D1CCB9"/>
                            <w:bottom w:val="single" w:sz="48" w:space="15" w:color="D1CCB9"/>
                            <w:right w:val="single" w:sz="48" w:space="15" w:color="D1CCB9"/>
                          </w:divBdr>
                        </w:div>
                      </w:divsChild>
                    </w:div>
                  </w:divsChild>
                </w:div>
              </w:divsChild>
            </w:div>
          </w:divsChild>
        </w:div>
        <w:div w:id="1179195356">
          <w:marLeft w:val="0"/>
          <w:marRight w:val="0"/>
          <w:marTop w:val="0"/>
          <w:marBottom w:val="0"/>
          <w:divBdr>
            <w:top w:val="none" w:sz="0" w:space="0" w:color="auto"/>
            <w:left w:val="none" w:sz="0" w:space="0" w:color="auto"/>
            <w:bottom w:val="none" w:sz="0" w:space="0" w:color="auto"/>
            <w:right w:val="none" w:sz="0" w:space="0" w:color="auto"/>
          </w:divBdr>
          <w:divsChild>
            <w:div w:id="172198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5553">
      <w:bodyDiv w:val="1"/>
      <w:marLeft w:val="0"/>
      <w:marRight w:val="0"/>
      <w:marTop w:val="0"/>
      <w:marBottom w:val="0"/>
      <w:divBdr>
        <w:top w:val="none" w:sz="0" w:space="0" w:color="auto"/>
        <w:left w:val="none" w:sz="0" w:space="0" w:color="auto"/>
        <w:bottom w:val="none" w:sz="0" w:space="0" w:color="auto"/>
        <w:right w:val="none" w:sz="0" w:space="0" w:color="auto"/>
      </w:divBdr>
    </w:div>
    <w:div w:id="2042973528">
      <w:bodyDiv w:val="1"/>
      <w:marLeft w:val="0"/>
      <w:marRight w:val="0"/>
      <w:marTop w:val="0"/>
      <w:marBottom w:val="0"/>
      <w:divBdr>
        <w:top w:val="none" w:sz="0" w:space="0" w:color="auto"/>
        <w:left w:val="none" w:sz="0" w:space="0" w:color="auto"/>
        <w:bottom w:val="none" w:sz="0" w:space="0" w:color="auto"/>
        <w:right w:val="none" w:sz="0" w:space="0" w:color="auto"/>
      </w:divBdr>
      <w:divsChild>
        <w:div w:id="63992904">
          <w:marLeft w:val="0"/>
          <w:marRight w:val="0"/>
          <w:marTop w:val="0"/>
          <w:marBottom w:val="315"/>
          <w:divBdr>
            <w:top w:val="none" w:sz="0" w:space="0" w:color="auto"/>
            <w:left w:val="none" w:sz="0" w:space="0" w:color="auto"/>
            <w:bottom w:val="none" w:sz="0" w:space="0" w:color="auto"/>
            <w:right w:val="none" w:sz="0" w:space="0" w:color="auto"/>
          </w:divBdr>
        </w:div>
        <w:div w:id="1930770969">
          <w:marLeft w:val="0"/>
          <w:marRight w:val="0"/>
          <w:marTop w:val="0"/>
          <w:marBottom w:val="0"/>
          <w:divBdr>
            <w:top w:val="none" w:sz="0" w:space="0" w:color="auto"/>
            <w:left w:val="none" w:sz="0" w:space="0" w:color="auto"/>
            <w:bottom w:val="none" w:sz="0" w:space="0" w:color="auto"/>
            <w:right w:val="none" w:sz="0" w:space="0" w:color="auto"/>
          </w:divBdr>
          <w:divsChild>
            <w:div w:id="1205479483">
              <w:marLeft w:val="0"/>
              <w:marRight w:val="0"/>
              <w:marTop w:val="0"/>
              <w:marBottom w:val="0"/>
              <w:divBdr>
                <w:top w:val="none" w:sz="0" w:space="0" w:color="auto"/>
                <w:left w:val="none" w:sz="0" w:space="0" w:color="auto"/>
                <w:bottom w:val="none" w:sz="0" w:space="0" w:color="auto"/>
                <w:right w:val="none" w:sz="0" w:space="0" w:color="auto"/>
              </w:divBdr>
              <w:divsChild>
                <w:div w:id="198889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nil.fr/fr/lanonymisation-de-donnees-personnelles" TargetMode="External"/><Relationship Id="rId18" Type="http://schemas.openxmlformats.org/officeDocument/2006/relationships/hyperlink" Target="https://www.cnil.fr/fr/publication-du-referentiel-pour-la-prise-en-charge-medico-sociale-des-personnes-agees-en-situation" TargetMode="External"/><Relationship Id="rId26" Type="http://schemas.openxmlformats.org/officeDocument/2006/relationships/hyperlink" Target="https://www.cnil.fr/fr/questions-reponses-referentiel-suivi-medico-social-des-personnes-agees-handicap-difficulte" TargetMode="External"/><Relationship Id="rId3" Type="http://schemas.openxmlformats.org/officeDocument/2006/relationships/settings" Target="settings.xml"/><Relationship Id="rId21" Type="http://schemas.openxmlformats.org/officeDocument/2006/relationships/hyperlink" Target="https://francearchives.gouv.fr/circulaire/DGP_SIAF_2014_006" TargetMode="External"/><Relationship Id="rId34" Type="http://schemas.openxmlformats.org/officeDocument/2006/relationships/hyperlink" Target="https://www.cnil.fr/fr/la-protection-des-donnees-personnelles-dans-le-secteur-social" TargetMode="External"/><Relationship Id="rId7" Type="http://schemas.openxmlformats.org/officeDocument/2006/relationships/hyperlink" Target="https://www.cnil.fr/fr/le-delegue-la-protection-des-donnees-dpo" TargetMode="External"/><Relationship Id="rId12" Type="http://schemas.openxmlformats.org/officeDocument/2006/relationships/hyperlink" Target="https://www.legifrance.gouv.fr/codes/article_lc/LEGIARTI000019202937/2023-05-05/" TargetMode="External"/><Relationship Id="rId17" Type="http://schemas.openxmlformats.org/officeDocument/2006/relationships/hyperlink" Target="https://francearchives.gouv.fr/circulaire/DGP_SIAF_2014_006" TargetMode="External"/><Relationship Id="rId25" Type="http://schemas.openxmlformats.org/officeDocument/2006/relationships/image" Target="media/image1.png"/><Relationship Id="rId33" Type="http://schemas.openxmlformats.org/officeDocument/2006/relationships/hyperlink" Target="https://francearchives.gouv.fr/fr/gerer" TargetMode="External"/><Relationship Id="rId2" Type="http://schemas.openxmlformats.org/officeDocument/2006/relationships/styles" Target="styles.xml"/><Relationship Id="rId16" Type="http://schemas.openxmlformats.org/officeDocument/2006/relationships/hyperlink" Target="https://www.has-sante.fr/upload/docs/application/pdf/2018-03/reco_projet.pdf" TargetMode="External"/><Relationship Id="rId20" Type="http://schemas.openxmlformats.org/officeDocument/2006/relationships/hyperlink" Target="https://www.cnil.fr/sites/cnil/files/2023-11/referentiel_durees_de_conservation_social_et_medico-social.pdf" TargetMode="External"/><Relationship Id="rId29" Type="http://schemas.openxmlformats.org/officeDocument/2006/relationships/hyperlink" Target="https://www.cnil.fr/sites/cnil/files/atoms/files/guide_durees_de_conservation.pdf" TargetMode="External"/><Relationship Id="rId1" Type="http://schemas.openxmlformats.org/officeDocument/2006/relationships/numbering" Target="numbering.xml"/><Relationship Id="rId6" Type="http://schemas.openxmlformats.org/officeDocument/2006/relationships/hyperlink" Target="https://www.legifrance.gouv.fr/codes/article_lc/LEGIARTI000045212898" TargetMode="External"/><Relationship Id="rId11" Type="http://schemas.openxmlformats.org/officeDocument/2006/relationships/hyperlink" Target="https://francearchives.gouv.fr/fr/circulaire/DGP_SIAF_2020_004" TargetMode="External"/><Relationship Id="rId24" Type="http://schemas.openxmlformats.org/officeDocument/2006/relationships/hyperlink" Target="https://www.cnil.fr/sites/cnil/files/2023-11/schema_durees_de_conservation_archivages.pdf" TargetMode="External"/><Relationship Id="rId32" Type="http://schemas.openxmlformats.org/officeDocument/2006/relationships/hyperlink" Target="https://www.cnil.fr/sites/cnil/files/2023-11/referentiel_durees_de_conservation_social_et_medico-social.pdf" TargetMode="External"/><Relationship Id="rId5" Type="http://schemas.openxmlformats.org/officeDocument/2006/relationships/hyperlink" Target="https://www.cnil.fr/fr/passer-laction/les-durees-de-conservation-des-donnees" TargetMode="External"/><Relationship Id="rId15" Type="http://schemas.openxmlformats.org/officeDocument/2006/relationships/hyperlink" Target="https://www.has-sante.fr/jcms/p_3229902/fr/recommandations-de-bonnes-pratiques-professionnelles-pour-le-secteur-social-et-medico-social" TargetMode="External"/><Relationship Id="rId23" Type="http://schemas.openxmlformats.org/officeDocument/2006/relationships/hyperlink" Target="https://www.cnil.fr/fr/publication-du-referentiel-pour-la-prise-en-charge-medico-sociale-des-personnes-agees-en-situation" TargetMode="External"/><Relationship Id="rId28" Type="http://schemas.openxmlformats.org/officeDocument/2006/relationships/hyperlink" Target="https://www.cnil.fr/sites/cnil/files/2023-11/referentiel_durees_de_conservation_social_et_medico-social.pdf" TargetMode="External"/><Relationship Id="rId36" Type="http://schemas.openxmlformats.org/officeDocument/2006/relationships/theme" Target="theme/theme1.xml"/><Relationship Id="rId10" Type="http://schemas.openxmlformats.org/officeDocument/2006/relationships/hyperlink" Target="https://francearchives.gouv.fr/fr/gerer" TargetMode="External"/><Relationship Id="rId19" Type="http://schemas.openxmlformats.org/officeDocument/2006/relationships/hyperlink" Target="https://www.cnil.fr/fr/protection-de-lenfance-et-des-majeurs-de-moins-de-21-ans-la-cnil-publie-un-referentiel" TargetMode="External"/><Relationship Id="rId31" Type="http://schemas.openxmlformats.org/officeDocument/2006/relationships/hyperlink" Target="https://www.cnil.fr/fr/protection-de-lenfance-et-des-majeurs-de-moins-de-21-ans-la-cnil-publie-un-referentiel" TargetMode="External"/><Relationship Id="rId4" Type="http://schemas.openxmlformats.org/officeDocument/2006/relationships/webSettings" Target="webSettings.xml"/><Relationship Id="rId9" Type="http://schemas.openxmlformats.org/officeDocument/2006/relationships/hyperlink" Target="https://www.legifrance.gouv.fr/codes/section_lc/LEGITEXT000006074236/LEGISCTA000006129161/" TargetMode="External"/><Relationship Id="rId14" Type="http://schemas.openxmlformats.org/officeDocument/2006/relationships/hyperlink" Target="https://www.legifrance.gouv.fr/codes/article_lc/LEGIARTI000031202640" TargetMode="External"/><Relationship Id="rId22" Type="http://schemas.openxmlformats.org/officeDocument/2006/relationships/hyperlink" Target="https://francearchives.gouv.fr/fr/circulaire/DGPA_SIAF_2021_002" TargetMode="External"/><Relationship Id="rId27" Type="http://schemas.openxmlformats.org/officeDocument/2006/relationships/hyperlink" Target="https://www.cnil.fr/fr/protection-de-lenfance-et-des-majeurs-de-moins-de-21-ans-la-cnil-publie-un-referentiel" TargetMode="External"/><Relationship Id="rId30" Type="http://schemas.openxmlformats.org/officeDocument/2006/relationships/hyperlink" Target="https://www.cnil.fr/fr/questions-reponses-referentiel-suivi-medico-social-des-personnes-agees-handicap-difficulte" TargetMode="External"/><Relationship Id="rId35" Type="http://schemas.openxmlformats.org/officeDocument/2006/relationships/fontTable" Target="fontTable.xml"/><Relationship Id="rId8" Type="http://schemas.openxmlformats.org/officeDocument/2006/relationships/hyperlink" Target="https://www.legifrance.gouv.fr/codes/article_lc/LEGIARTI00000642842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16</Pages>
  <Words>4726</Words>
  <Characters>25993</Characters>
  <Application>Microsoft Office Word</Application>
  <DocSecurity>0</DocSecurity>
  <Lines>216</Lines>
  <Paragraphs>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Stephane Lasnier</dc:creator>
  <cp:keywords/>
  <dc:description/>
  <cp:lastModifiedBy>Stephane Lasnier</cp:lastModifiedBy>
  <cp:revision>4</cp:revision>
  <dcterms:created xsi:type="dcterms:W3CDTF">2024-06-04T08:48:00Z</dcterms:created>
  <dcterms:modified xsi:type="dcterms:W3CDTF">2024-06-04T10:09:00Z</dcterms:modified>
</cp:coreProperties>
</file>